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51EF" w14:textId="77777777" w:rsidR="005418F7" w:rsidRPr="00483C53" w:rsidRDefault="005418F7" w:rsidP="00483C53">
      <w:pPr>
        <w:pStyle w:val="Title"/>
      </w:pPr>
      <w:r w:rsidRPr="00483C53">
        <w:t>Lone Working Policy</w:t>
      </w:r>
    </w:p>
    <w:p w14:paraId="0754F750" w14:textId="77777777" w:rsidR="003E3CA7" w:rsidRPr="00483C53" w:rsidRDefault="003E3CA7" w:rsidP="00483C53">
      <w:pPr>
        <w:pStyle w:val="Heading1"/>
      </w:pPr>
      <w:r w:rsidRPr="00483C53">
        <w:t>Introduction</w:t>
      </w:r>
    </w:p>
    <w:p w14:paraId="05EC96DC" w14:textId="77777777" w:rsidR="00483C53" w:rsidRDefault="00483C53" w:rsidP="00483C53">
      <w:r w:rsidRPr="00483C53">
        <w:t>This policy outlines how Wild Mane Wilderness &amp; Equine Therapeutic Centre Ltd (“Wild Mane”) manages occasional lone working or short-term separation during programme delivery. While sessions are typically facilitated with at least two responsible adults present, rare situations may arise, such as staff illness or brief unsupervised moments (e.g. during bathroom breaks), where someone is temporarily working alone. This policy ensures safety and accountability during those moments.</w:t>
      </w:r>
    </w:p>
    <w:p w14:paraId="11D38A99" w14:textId="251DDE79" w:rsidR="00410447" w:rsidRPr="005418F7" w:rsidRDefault="00410447" w:rsidP="005418F7">
      <w:pPr>
        <w:pStyle w:val="Heading1"/>
      </w:pPr>
      <w:r w:rsidRPr="005418F7">
        <w:t>Legal Framework</w:t>
      </w:r>
    </w:p>
    <w:p w14:paraId="1C090B47" w14:textId="77777777" w:rsidR="00233F9F" w:rsidRPr="00233F9F" w:rsidRDefault="00233F9F" w:rsidP="00233F9F">
      <w:r w:rsidRPr="00233F9F">
        <w:t>This policy aligns with:</w:t>
      </w:r>
    </w:p>
    <w:p w14:paraId="220251C6" w14:textId="77777777" w:rsidR="00233F9F" w:rsidRPr="00233F9F" w:rsidRDefault="00233F9F" w:rsidP="00233F9F">
      <w:pPr>
        <w:pStyle w:val="ListParagraph"/>
        <w:numPr>
          <w:ilvl w:val="0"/>
          <w:numId w:val="23"/>
        </w:numPr>
      </w:pPr>
      <w:r w:rsidRPr="00233F9F">
        <w:t>Health and Safety at Work etc. Act 1974</w:t>
      </w:r>
    </w:p>
    <w:p w14:paraId="4E07EE7F" w14:textId="77777777" w:rsidR="00233F9F" w:rsidRPr="00233F9F" w:rsidRDefault="00233F9F" w:rsidP="00233F9F">
      <w:pPr>
        <w:pStyle w:val="ListParagraph"/>
        <w:numPr>
          <w:ilvl w:val="0"/>
          <w:numId w:val="23"/>
        </w:numPr>
      </w:pPr>
      <w:r w:rsidRPr="00233F9F">
        <w:t>Management of Health and Safety at Work Regulations 1999</w:t>
      </w:r>
    </w:p>
    <w:p w14:paraId="2155689D" w14:textId="77777777" w:rsidR="00233F9F" w:rsidRPr="00233F9F" w:rsidRDefault="00233F9F" w:rsidP="00233F9F">
      <w:pPr>
        <w:pStyle w:val="ListParagraph"/>
        <w:numPr>
          <w:ilvl w:val="0"/>
          <w:numId w:val="23"/>
        </w:numPr>
      </w:pPr>
      <w:r w:rsidRPr="00233F9F">
        <w:t>HSE Guidance on Lone Working</w:t>
      </w:r>
    </w:p>
    <w:p w14:paraId="649B06C8" w14:textId="77777777" w:rsidR="00233F9F" w:rsidRPr="00233F9F" w:rsidRDefault="00233F9F" w:rsidP="00233F9F">
      <w:pPr>
        <w:pStyle w:val="ListParagraph"/>
        <w:numPr>
          <w:ilvl w:val="0"/>
          <w:numId w:val="23"/>
        </w:numPr>
      </w:pPr>
      <w:r w:rsidRPr="00233F9F">
        <w:t>Safeguarding best practices for group settings</w:t>
      </w:r>
    </w:p>
    <w:p w14:paraId="53A1E035" w14:textId="6820F6EF" w:rsidR="00410447" w:rsidRPr="00410447" w:rsidRDefault="00410447" w:rsidP="005418F7">
      <w:pPr>
        <w:pStyle w:val="Heading1"/>
      </w:pPr>
      <w:r w:rsidRPr="00410447">
        <w:t>Definition</w:t>
      </w:r>
    </w:p>
    <w:p w14:paraId="0F0964D3" w14:textId="77777777" w:rsidR="008E76B8" w:rsidRPr="008E76B8" w:rsidRDefault="008E76B8" w:rsidP="008E76B8">
      <w:r w:rsidRPr="008E76B8">
        <w:t>Lone working refers to any situation in which a person carries out duties without immediate supervision or presence of another team member. At Wild Mane, this may include:</w:t>
      </w:r>
    </w:p>
    <w:p w14:paraId="766DAA3F" w14:textId="77777777" w:rsidR="008E76B8" w:rsidRPr="008E76B8" w:rsidRDefault="008E76B8" w:rsidP="008E76B8">
      <w:pPr>
        <w:pStyle w:val="ListParagraph"/>
        <w:numPr>
          <w:ilvl w:val="0"/>
          <w:numId w:val="25"/>
        </w:numPr>
      </w:pPr>
      <w:r w:rsidRPr="008E76B8">
        <w:t>Short-term separation (e.g. bathroom breaks, managing the ponies)</w:t>
      </w:r>
    </w:p>
    <w:p w14:paraId="68292A8C" w14:textId="77777777" w:rsidR="008E76B8" w:rsidRPr="008E76B8" w:rsidRDefault="008E76B8" w:rsidP="008E76B8">
      <w:pPr>
        <w:pStyle w:val="ListParagraph"/>
        <w:numPr>
          <w:ilvl w:val="0"/>
          <w:numId w:val="25"/>
        </w:numPr>
      </w:pPr>
      <w:r w:rsidRPr="008E76B8">
        <w:t>A rare occasion where cover is unavailable due to staff illness or unexpected absence</w:t>
      </w:r>
    </w:p>
    <w:p w14:paraId="67C88651" w14:textId="1933C566" w:rsidR="00410447" w:rsidRPr="00410447" w:rsidRDefault="00410447" w:rsidP="005418F7">
      <w:pPr>
        <w:pStyle w:val="Heading1"/>
      </w:pPr>
      <w:r w:rsidRPr="00410447">
        <w:t>Responsibilities</w:t>
      </w:r>
    </w:p>
    <w:p w14:paraId="74BA8147" w14:textId="2154A684" w:rsidR="00410447" w:rsidRPr="00AC4B42" w:rsidRDefault="00410447" w:rsidP="001708BA">
      <w:pPr>
        <w:pStyle w:val="Heading2"/>
        <w:jc w:val="left"/>
      </w:pPr>
      <w:r w:rsidRPr="00AC4B42">
        <w:t>Organisational Responsibilities</w:t>
      </w:r>
    </w:p>
    <w:p w14:paraId="740B8D67" w14:textId="66FC7748" w:rsidR="001708BA" w:rsidRPr="001708BA" w:rsidRDefault="001708BA" w:rsidP="001708BA">
      <w:pPr>
        <w:pStyle w:val="ListParagraph"/>
        <w:numPr>
          <w:ilvl w:val="0"/>
          <w:numId w:val="26"/>
        </w:numPr>
      </w:pPr>
      <w:r w:rsidRPr="001708BA">
        <w:t>Design sessions to have at least two responsible adults present whenever possible.</w:t>
      </w:r>
    </w:p>
    <w:p w14:paraId="7A3C9D61" w14:textId="4F4BF2EF" w:rsidR="001708BA" w:rsidRPr="001708BA" w:rsidRDefault="001708BA" w:rsidP="001708BA">
      <w:pPr>
        <w:pStyle w:val="ListParagraph"/>
        <w:numPr>
          <w:ilvl w:val="0"/>
          <w:numId w:val="26"/>
        </w:numPr>
      </w:pPr>
      <w:r w:rsidRPr="001708BA">
        <w:t>Anticipate lone working risks during planning, especially for illness or travel.</w:t>
      </w:r>
    </w:p>
    <w:p w14:paraId="026E80E9" w14:textId="6F6A1D11" w:rsidR="001708BA" w:rsidRPr="001708BA" w:rsidRDefault="001708BA" w:rsidP="001708BA">
      <w:pPr>
        <w:pStyle w:val="ListParagraph"/>
        <w:numPr>
          <w:ilvl w:val="0"/>
          <w:numId w:val="26"/>
        </w:numPr>
      </w:pPr>
      <w:r w:rsidRPr="001708BA">
        <w:lastRenderedPageBreak/>
        <w:t>In rare cases where only one facilitator is present, support them to adapt the session plan to reduce risk and safeguard all participants.</w:t>
      </w:r>
    </w:p>
    <w:p w14:paraId="6454290F" w14:textId="7D2B746C" w:rsidR="001708BA" w:rsidRPr="001708BA" w:rsidRDefault="001708BA" w:rsidP="001708BA">
      <w:pPr>
        <w:pStyle w:val="ListParagraph"/>
        <w:numPr>
          <w:ilvl w:val="0"/>
          <w:numId w:val="26"/>
        </w:numPr>
      </w:pPr>
      <w:r w:rsidRPr="001708BA">
        <w:t>Provide therapeutic approaches in dynamic risk assessment and reflective decision-making when adapting sessions alone.</w:t>
      </w:r>
    </w:p>
    <w:p w14:paraId="1E269CEF" w14:textId="5A4E5821" w:rsidR="00217B42" w:rsidRDefault="00217B42" w:rsidP="001708BA">
      <w:pPr>
        <w:pStyle w:val="Heading2"/>
        <w:jc w:val="left"/>
      </w:pPr>
      <w:r w:rsidRPr="00217B42">
        <w:t>Facilitator Responsibilities</w:t>
      </w:r>
    </w:p>
    <w:p w14:paraId="7F97FF3D" w14:textId="2B47874C" w:rsidR="00D22FD2" w:rsidRPr="00D22FD2" w:rsidRDefault="00D22FD2" w:rsidP="00D22FD2">
      <w:pPr>
        <w:pStyle w:val="ListParagraph"/>
        <w:numPr>
          <w:ilvl w:val="0"/>
          <w:numId w:val="27"/>
        </w:numPr>
        <w:spacing w:line="259" w:lineRule="auto"/>
      </w:pPr>
      <w:r w:rsidRPr="00D22FD2">
        <w:t>Avoid direct private interaction with participants when alone, remain in public or visible spaces.</w:t>
      </w:r>
    </w:p>
    <w:p w14:paraId="0527C3B2" w14:textId="6A0E43DB" w:rsidR="00D22FD2" w:rsidRPr="00D22FD2" w:rsidRDefault="00D22FD2" w:rsidP="00D22FD2">
      <w:pPr>
        <w:pStyle w:val="ListParagraph"/>
        <w:numPr>
          <w:ilvl w:val="0"/>
          <w:numId w:val="27"/>
        </w:numPr>
        <w:spacing w:line="259" w:lineRule="auto"/>
      </w:pPr>
      <w:r w:rsidRPr="00D22FD2">
        <w:t>Always keep a charged phone accessible.</w:t>
      </w:r>
    </w:p>
    <w:p w14:paraId="618B32F1" w14:textId="4A24DBED" w:rsidR="00D22FD2" w:rsidRPr="00D22FD2" w:rsidRDefault="00D22FD2" w:rsidP="00D22FD2">
      <w:pPr>
        <w:pStyle w:val="ListParagraph"/>
        <w:numPr>
          <w:ilvl w:val="0"/>
          <w:numId w:val="27"/>
        </w:numPr>
        <w:spacing w:line="259" w:lineRule="auto"/>
      </w:pPr>
      <w:r w:rsidRPr="00D22FD2">
        <w:t>Let another team member, volunteer, or responsible person know if they will be alone on-site or separated.</w:t>
      </w:r>
    </w:p>
    <w:p w14:paraId="39DBCF0C" w14:textId="342E38FE" w:rsidR="00410447" w:rsidRDefault="00D22FD2" w:rsidP="00D22FD2">
      <w:pPr>
        <w:spacing w:line="259" w:lineRule="auto"/>
        <w:rPr>
          <w:rFonts w:asciiTheme="majorHAnsi" w:eastAsiaTheme="majorEastAsia" w:hAnsiTheme="majorHAnsi" w:cstheme="majorBidi"/>
          <w:color w:val="868686" w:themeColor="accent1" w:themeShade="BF"/>
          <w:sz w:val="40"/>
          <w:szCs w:val="40"/>
        </w:rPr>
      </w:pPr>
      <w:proofErr w:type="gramStart"/>
      <w:r w:rsidRPr="00D22FD2">
        <w:t xml:space="preserve">  </w:t>
      </w:r>
      <w:r w:rsidR="004A6F20" w:rsidRPr="004A6F20">
        <w:rPr>
          <w:rFonts w:asciiTheme="majorHAnsi" w:eastAsiaTheme="majorEastAsia" w:hAnsiTheme="majorHAnsi" w:cstheme="majorBidi"/>
          <w:color w:val="868686" w:themeColor="accent1" w:themeShade="BF"/>
          <w:sz w:val="40"/>
          <w:szCs w:val="40"/>
        </w:rPr>
        <w:t>Lone</w:t>
      </w:r>
      <w:proofErr w:type="gramEnd"/>
      <w:r w:rsidR="004A6F20" w:rsidRPr="004A6F20">
        <w:rPr>
          <w:rFonts w:asciiTheme="majorHAnsi" w:eastAsiaTheme="majorEastAsia" w:hAnsiTheme="majorHAnsi" w:cstheme="majorBidi"/>
          <w:color w:val="868686" w:themeColor="accent1" w:themeShade="BF"/>
          <w:sz w:val="40"/>
          <w:szCs w:val="40"/>
        </w:rPr>
        <w:t xml:space="preserve"> Working Situations and Controls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7495"/>
      </w:tblGrid>
      <w:tr w:rsidR="0090766D" w:rsidRPr="0090766D" w14:paraId="0E80E6FC" w14:textId="77777777" w:rsidTr="0090766D">
        <w:trPr>
          <w:tblHeader/>
          <w:tblCellSpacing w:w="15" w:type="dxa"/>
        </w:trPr>
        <w:tc>
          <w:tcPr>
            <w:tcW w:w="0" w:type="auto"/>
            <w:vAlign w:val="center"/>
            <w:hideMark/>
          </w:tcPr>
          <w:p w14:paraId="00379032" w14:textId="77777777" w:rsidR="0090766D" w:rsidRPr="0090766D" w:rsidRDefault="0090766D" w:rsidP="0090766D">
            <w:pPr>
              <w:spacing w:line="259" w:lineRule="auto"/>
              <w:rPr>
                <w:b/>
                <w:bCs/>
              </w:rPr>
            </w:pPr>
            <w:r w:rsidRPr="0090766D">
              <w:rPr>
                <w:b/>
                <w:bCs/>
              </w:rPr>
              <w:t>Situation</w:t>
            </w:r>
          </w:p>
        </w:tc>
        <w:tc>
          <w:tcPr>
            <w:tcW w:w="0" w:type="auto"/>
            <w:vAlign w:val="center"/>
            <w:hideMark/>
          </w:tcPr>
          <w:p w14:paraId="6EA36C5C" w14:textId="77777777" w:rsidR="0090766D" w:rsidRPr="0090766D" w:rsidRDefault="0090766D" w:rsidP="0090766D">
            <w:pPr>
              <w:spacing w:line="259" w:lineRule="auto"/>
              <w:rPr>
                <w:b/>
                <w:bCs/>
              </w:rPr>
            </w:pPr>
            <w:r w:rsidRPr="0090766D">
              <w:rPr>
                <w:b/>
                <w:bCs/>
              </w:rPr>
              <w:t>Expected Control Measures</w:t>
            </w:r>
          </w:p>
        </w:tc>
      </w:tr>
      <w:tr w:rsidR="0090766D" w:rsidRPr="0090766D" w14:paraId="7DDA9FCD" w14:textId="77777777" w:rsidTr="0090766D">
        <w:trPr>
          <w:tblCellSpacing w:w="15" w:type="dxa"/>
        </w:trPr>
        <w:tc>
          <w:tcPr>
            <w:tcW w:w="0" w:type="auto"/>
            <w:vAlign w:val="center"/>
            <w:hideMark/>
          </w:tcPr>
          <w:p w14:paraId="022A0015" w14:textId="77777777" w:rsidR="0090766D" w:rsidRPr="0090766D" w:rsidRDefault="0090766D" w:rsidP="0090766D">
            <w:pPr>
              <w:spacing w:line="259" w:lineRule="auto"/>
            </w:pPr>
            <w:r w:rsidRPr="0090766D">
              <w:t>Bathroom break separation</w:t>
            </w:r>
          </w:p>
        </w:tc>
        <w:tc>
          <w:tcPr>
            <w:tcW w:w="0" w:type="auto"/>
            <w:vAlign w:val="center"/>
            <w:hideMark/>
          </w:tcPr>
          <w:p w14:paraId="2051D164" w14:textId="19779167" w:rsidR="0090766D" w:rsidRPr="0090766D" w:rsidRDefault="0090766D" w:rsidP="0090766D">
            <w:pPr>
              <w:spacing w:line="259" w:lineRule="auto"/>
            </w:pPr>
            <w:r w:rsidRPr="0090766D">
              <w:t xml:space="preserve">Ensure participants </w:t>
            </w:r>
            <w:r w:rsidR="007830C5">
              <w:t>take a buddy</w:t>
            </w:r>
            <w:r w:rsidRPr="0090766D">
              <w:t>. Return promptly or ask another adult to observe.</w:t>
            </w:r>
          </w:p>
        </w:tc>
      </w:tr>
      <w:tr w:rsidR="0090766D" w:rsidRPr="0090766D" w14:paraId="3E1DA00A" w14:textId="77777777" w:rsidTr="0090766D">
        <w:trPr>
          <w:tblCellSpacing w:w="15" w:type="dxa"/>
        </w:trPr>
        <w:tc>
          <w:tcPr>
            <w:tcW w:w="0" w:type="auto"/>
            <w:vAlign w:val="center"/>
            <w:hideMark/>
          </w:tcPr>
          <w:p w14:paraId="47316E56" w14:textId="77777777" w:rsidR="0090766D" w:rsidRPr="0090766D" w:rsidRDefault="0090766D" w:rsidP="0090766D">
            <w:pPr>
              <w:spacing w:line="259" w:lineRule="auto"/>
            </w:pPr>
            <w:r w:rsidRPr="0090766D">
              <w:t>Staff illness with no cover</w:t>
            </w:r>
          </w:p>
        </w:tc>
        <w:tc>
          <w:tcPr>
            <w:tcW w:w="0" w:type="auto"/>
            <w:vAlign w:val="center"/>
            <w:hideMark/>
          </w:tcPr>
          <w:p w14:paraId="4E62C49D" w14:textId="77777777" w:rsidR="0090766D" w:rsidRPr="0090766D" w:rsidRDefault="0090766D" w:rsidP="0090766D">
            <w:pPr>
              <w:spacing w:line="259" w:lineRule="auto"/>
            </w:pPr>
            <w:r w:rsidRPr="0090766D">
              <w:t>If session proceeds, ensure participants stay in open spaces; use quiet, low-risk activities.</w:t>
            </w:r>
          </w:p>
        </w:tc>
      </w:tr>
      <w:tr w:rsidR="0090766D" w:rsidRPr="0090766D" w14:paraId="491AD230" w14:textId="77777777" w:rsidTr="0090766D">
        <w:trPr>
          <w:tblCellSpacing w:w="15" w:type="dxa"/>
        </w:trPr>
        <w:tc>
          <w:tcPr>
            <w:tcW w:w="0" w:type="auto"/>
            <w:vAlign w:val="center"/>
            <w:hideMark/>
          </w:tcPr>
          <w:p w14:paraId="119173C8" w14:textId="77777777" w:rsidR="0090766D" w:rsidRPr="0090766D" w:rsidRDefault="0090766D" w:rsidP="0090766D">
            <w:pPr>
              <w:spacing w:line="259" w:lineRule="auto"/>
            </w:pPr>
            <w:r w:rsidRPr="0090766D">
              <w:t>Unaccompanied set-up or pack-down</w:t>
            </w:r>
          </w:p>
        </w:tc>
        <w:tc>
          <w:tcPr>
            <w:tcW w:w="0" w:type="auto"/>
            <w:vAlign w:val="center"/>
            <w:hideMark/>
          </w:tcPr>
          <w:p w14:paraId="14137276" w14:textId="2C3AC1E9" w:rsidR="0090766D" w:rsidRPr="0090766D" w:rsidRDefault="00F35EAE" w:rsidP="0090766D">
            <w:pPr>
              <w:spacing w:line="259" w:lineRule="auto"/>
            </w:pPr>
            <w:r w:rsidRPr="0090766D">
              <w:t>Always Keep phone on</w:t>
            </w:r>
            <w:r w:rsidR="0090766D" w:rsidRPr="0090766D">
              <w:t>; alert someone to expected timings; no risky tasks alone.</w:t>
            </w:r>
          </w:p>
        </w:tc>
      </w:tr>
      <w:tr w:rsidR="0090766D" w:rsidRPr="0090766D" w14:paraId="41206923" w14:textId="77777777" w:rsidTr="0090766D">
        <w:trPr>
          <w:tblCellSpacing w:w="15" w:type="dxa"/>
        </w:trPr>
        <w:tc>
          <w:tcPr>
            <w:tcW w:w="0" w:type="auto"/>
            <w:vAlign w:val="center"/>
            <w:hideMark/>
          </w:tcPr>
          <w:p w14:paraId="24FE538E" w14:textId="77777777" w:rsidR="0090766D" w:rsidRPr="0090766D" w:rsidRDefault="0090766D" w:rsidP="0090766D">
            <w:pPr>
              <w:spacing w:line="259" w:lineRule="auto"/>
            </w:pPr>
            <w:r w:rsidRPr="0090766D">
              <w:t>Lone preparation on-site (e.g. fetching feed)</w:t>
            </w:r>
          </w:p>
        </w:tc>
        <w:tc>
          <w:tcPr>
            <w:tcW w:w="0" w:type="auto"/>
            <w:vAlign w:val="center"/>
            <w:hideMark/>
          </w:tcPr>
          <w:p w14:paraId="4BD83970" w14:textId="77777777" w:rsidR="0090766D" w:rsidRPr="0090766D" w:rsidRDefault="0090766D" w:rsidP="0090766D">
            <w:pPr>
              <w:spacing w:line="259" w:lineRule="auto"/>
            </w:pPr>
            <w:r w:rsidRPr="0090766D">
              <w:t>Notify someone of location and expected return time.</w:t>
            </w:r>
          </w:p>
        </w:tc>
      </w:tr>
      <w:tr w:rsidR="0090766D" w:rsidRPr="0090766D" w14:paraId="05213095" w14:textId="77777777" w:rsidTr="0090766D">
        <w:trPr>
          <w:tblCellSpacing w:w="15" w:type="dxa"/>
        </w:trPr>
        <w:tc>
          <w:tcPr>
            <w:tcW w:w="0" w:type="auto"/>
            <w:vAlign w:val="center"/>
          </w:tcPr>
          <w:p w14:paraId="346AC737" w14:textId="2F0772E6" w:rsidR="0090766D" w:rsidRPr="0090766D" w:rsidRDefault="00F35EAE" w:rsidP="0090766D">
            <w:pPr>
              <w:spacing w:line="259" w:lineRule="auto"/>
            </w:pPr>
            <w:r w:rsidRPr="00F35EAE">
              <w:t>Session adaptation due to lone facilitation</w:t>
            </w:r>
          </w:p>
        </w:tc>
        <w:tc>
          <w:tcPr>
            <w:tcW w:w="0" w:type="auto"/>
            <w:vAlign w:val="center"/>
          </w:tcPr>
          <w:p w14:paraId="7F6948F7" w14:textId="0D3784EF" w:rsidR="0090766D" w:rsidRPr="0090766D" w:rsidRDefault="00F35EAE" w:rsidP="0090766D">
            <w:pPr>
              <w:spacing w:line="259" w:lineRule="auto"/>
            </w:pPr>
            <w:r w:rsidRPr="00F35EAE">
              <w:t>Adjust session plan to use low-risk, grounded activities</w:t>
            </w:r>
            <w:r>
              <w:t xml:space="preserve">. </w:t>
            </w:r>
            <w:r w:rsidRPr="00F35EAE">
              <w:t>Keep participants in sight, avoid high-risk tools or tasks, and inform a second point of contact.</w:t>
            </w:r>
          </w:p>
        </w:tc>
      </w:tr>
    </w:tbl>
    <w:p w14:paraId="1246D7EC" w14:textId="77777777" w:rsidR="0090766D" w:rsidRDefault="0090766D" w:rsidP="00410447">
      <w:pPr>
        <w:spacing w:line="259" w:lineRule="auto"/>
        <w:rPr>
          <w:b/>
          <w:bCs/>
        </w:rPr>
      </w:pPr>
    </w:p>
    <w:p w14:paraId="29678788" w14:textId="3842F76F" w:rsidR="00FF2329" w:rsidRPr="00FF2329" w:rsidRDefault="00153BED" w:rsidP="00FF2329">
      <w:pPr>
        <w:pStyle w:val="Heading1"/>
        <w:rPr>
          <w:rStyle w:val="IntenseEmphasis"/>
          <w:b w:val="0"/>
          <w:bCs w:val="0"/>
          <w:i w:val="0"/>
          <w:iCs w:val="0"/>
          <w:color w:val="868686" w:themeColor="accent1" w:themeShade="BF"/>
        </w:rPr>
      </w:pPr>
      <w:r>
        <w:lastRenderedPageBreak/>
        <w:t>Lone Working Should Never…</w:t>
      </w:r>
    </w:p>
    <w:p w14:paraId="2BCFE562" w14:textId="1B770A9A" w:rsidR="00F347F4" w:rsidRPr="00F347F4" w:rsidRDefault="00F347F4" w:rsidP="00F347F4">
      <w:pPr>
        <w:pStyle w:val="ListParagraph"/>
        <w:numPr>
          <w:ilvl w:val="0"/>
          <w:numId w:val="28"/>
        </w:numPr>
      </w:pPr>
      <w:r w:rsidRPr="00F347F4">
        <w:t>Lone working should never involve being 1:1 or out of sight with a child or vulnerable adult.</w:t>
      </w:r>
    </w:p>
    <w:p w14:paraId="619F9965" w14:textId="23662314" w:rsidR="00F347F4" w:rsidRPr="00F347F4" w:rsidRDefault="00F347F4" w:rsidP="00F347F4">
      <w:pPr>
        <w:pStyle w:val="ListParagraph"/>
        <w:numPr>
          <w:ilvl w:val="0"/>
          <w:numId w:val="28"/>
        </w:numPr>
      </w:pPr>
      <w:r w:rsidRPr="00F347F4">
        <w:t>Lone working should never involve facilitating equine activities without someone on hand in case of emergency.</w:t>
      </w:r>
    </w:p>
    <w:p w14:paraId="2B07874C" w14:textId="50F91FB1" w:rsidR="00410447" w:rsidRPr="00410447" w:rsidRDefault="00670567" w:rsidP="005418F7">
      <w:pPr>
        <w:pStyle w:val="Heading1"/>
      </w:pPr>
      <w:r>
        <w:t>Linked Policies</w:t>
      </w:r>
    </w:p>
    <w:p w14:paraId="475B3D66" w14:textId="77777777" w:rsidR="00453D3D" w:rsidRPr="00453D3D" w:rsidRDefault="00453D3D" w:rsidP="00453D3D">
      <w:pPr>
        <w:rPr>
          <w:rFonts w:eastAsiaTheme="majorEastAsia"/>
        </w:rPr>
      </w:pPr>
      <w:r w:rsidRPr="00453D3D">
        <w:rPr>
          <w:rFonts w:eastAsiaTheme="majorEastAsia"/>
        </w:rPr>
        <w:t>This policy links directly with:</w:t>
      </w:r>
    </w:p>
    <w:p w14:paraId="124F3B1D" w14:textId="77777777" w:rsidR="00453D3D" w:rsidRPr="00453D3D" w:rsidRDefault="00453D3D" w:rsidP="00453D3D">
      <w:pPr>
        <w:numPr>
          <w:ilvl w:val="0"/>
          <w:numId w:val="29"/>
        </w:numPr>
        <w:rPr>
          <w:rFonts w:eastAsiaTheme="majorEastAsia"/>
        </w:rPr>
      </w:pPr>
      <w:r w:rsidRPr="00453D3D">
        <w:rPr>
          <w:rFonts w:eastAsiaTheme="majorEastAsia"/>
        </w:rPr>
        <w:t>Safeguarding Policy</w:t>
      </w:r>
    </w:p>
    <w:p w14:paraId="049B7ED6" w14:textId="77777777" w:rsidR="00453D3D" w:rsidRPr="00453D3D" w:rsidRDefault="00453D3D" w:rsidP="00453D3D">
      <w:pPr>
        <w:numPr>
          <w:ilvl w:val="0"/>
          <w:numId w:val="29"/>
        </w:numPr>
        <w:rPr>
          <w:rFonts w:eastAsiaTheme="majorEastAsia"/>
        </w:rPr>
      </w:pPr>
      <w:r w:rsidRPr="00453D3D">
        <w:rPr>
          <w:rFonts w:eastAsiaTheme="majorEastAsia"/>
        </w:rPr>
        <w:t>Safety Around Horses and Ponies Policy</w:t>
      </w:r>
    </w:p>
    <w:p w14:paraId="5C5D8D2A" w14:textId="77777777" w:rsidR="00453D3D" w:rsidRPr="00453D3D" w:rsidRDefault="00453D3D" w:rsidP="00453D3D">
      <w:pPr>
        <w:numPr>
          <w:ilvl w:val="0"/>
          <w:numId w:val="29"/>
        </w:numPr>
        <w:rPr>
          <w:rFonts w:eastAsiaTheme="majorEastAsia"/>
        </w:rPr>
      </w:pPr>
      <w:r w:rsidRPr="00453D3D">
        <w:rPr>
          <w:rFonts w:eastAsiaTheme="majorEastAsia"/>
        </w:rPr>
        <w:t>Emergency Response Plan</w:t>
      </w:r>
    </w:p>
    <w:p w14:paraId="0BFD71A8" w14:textId="77777777" w:rsidR="00453D3D" w:rsidRPr="00453D3D" w:rsidRDefault="00453D3D" w:rsidP="00453D3D">
      <w:pPr>
        <w:pStyle w:val="Heading1"/>
      </w:pPr>
      <w:r w:rsidRPr="00453D3D">
        <w:t>Monitoring and Review</w:t>
      </w:r>
    </w:p>
    <w:p w14:paraId="14FDF501" w14:textId="77777777" w:rsidR="00453D3D" w:rsidRPr="00453D3D" w:rsidRDefault="00453D3D" w:rsidP="00453D3D">
      <w:pPr>
        <w:rPr>
          <w:rFonts w:eastAsiaTheme="majorEastAsia"/>
        </w:rPr>
      </w:pPr>
      <w:r w:rsidRPr="00453D3D">
        <w:rPr>
          <w:rFonts w:eastAsiaTheme="majorEastAsia"/>
        </w:rPr>
        <w:t>This policy will be reviewed annually, or sooner if lone working practices change, incidents occur, or new guidance emerges.</w:t>
      </w:r>
    </w:p>
    <w:p w14:paraId="718DA60E" w14:textId="77777777" w:rsidR="00453D3D" w:rsidRDefault="00410447">
      <w:pPr>
        <w:rPr>
          <w:b/>
          <w:bCs/>
        </w:rPr>
      </w:pPr>
      <w:r w:rsidRPr="00410447">
        <w:rPr>
          <w:b/>
          <w:bCs/>
        </w:rPr>
        <w:t>Last Reviewed:</w:t>
      </w:r>
    </w:p>
    <w:p w14:paraId="55CE7C30" w14:textId="10F3BC5B" w:rsidR="00A770BC" w:rsidRDefault="00410447">
      <w:pPr>
        <w:rPr>
          <w:strike/>
        </w:rPr>
      </w:pPr>
      <w:r w:rsidRPr="00453D3D">
        <w:rPr>
          <w:strike/>
        </w:rPr>
        <w:t xml:space="preserve"> </w:t>
      </w:r>
      <w:r w:rsidR="00FD21AB" w:rsidRPr="00453D3D">
        <w:rPr>
          <w:strike/>
        </w:rPr>
        <w:t>June</w:t>
      </w:r>
      <w:r w:rsidRPr="00453D3D">
        <w:rPr>
          <w:strike/>
        </w:rPr>
        <w:t xml:space="preserve"> 2025</w:t>
      </w:r>
    </w:p>
    <w:p w14:paraId="3F2CC060" w14:textId="4CE45EBF" w:rsidR="00453D3D" w:rsidRPr="0046029D" w:rsidRDefault="0046029D">
      <w:r w:rsidRPr="0046029D">
        <w:t>September</w:t>
      </w:r>
      <w:r w:rsidR="00453D3D" w:rsidRPr="0046029D">
        <w:t xml:space="preserve"> </w:t>
      </w:r>
      <w:r w:rsidRPr="0046029D">
        <w:t>2025</w:t>
      </w:r>
    </w:p>
    <w:sectPr w:rsidR="00453D3D" w:rsidRPr="0046029D" w:rsidSect="00410447">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48"/>
    <w:multiLevelType w:val="hybridMultilevel"/>
    <w:tmpl w:val="38F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D3C40"/>
    <w:multiLevelType w:val="hybridMultilevel"/>
    <w:tmpl w:val="546E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6E01"/>
    <w:multiLevelType w:val="hybridMultilevel"/>
    <w:tmpl w:val="C5AE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92F89"/>
    <w:multiLevelType w:val="multilevel"/>
    <w:tmpl w:val="CA9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27C4E"/>
    <w:multiLevelType w:val="hybridMultilevel"/>
    <w:tmpl w:val="0E50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1CFB"/>
    <w:multiLevelType w:val="multilevel"/>
    <w:tmpl w:val="E2F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52A"/>
    <w:multiLevelType w:val="hybridMultilevel"/>
    <w:tmpl w:val="501C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94D32"/>
    <w:multiLevelType w:val="multilevel"/>
    <w:tmpl w:val="56F2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C18A1"/>
    <w:multiLevelType w:val="multilevel"/>
    <w:tmpl w:val="057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15B5B"/>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07B08"/>
    <w:multiLevelType w:val="hybridMultilevel"/>
    <w:tmpl w:val="6CF2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A0459"/>
    <w:multiLevelType w:val="multilevel"/>
    <w:tmpl w:val="D302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0744B"/>
    <w:multiLevelType w:val="multilevel"/>
    <w:tmpl w:val="556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B6AA7"/>
    <w:multiLevelType w:val="hybridMultilevel"/>
    <w:tmpl w:val="B34E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410F5"/>
    <w:multiLevelType w:val="hybridMultilevel"/>
    <w:tmpl w:val="7338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C791D"/>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2306"/>
    <w:multiLevelType w:val="multilevel"/>
    <w:tmpl w:val="C9D2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B2E3B"/>
    <w:multiLevelType w:val="multilevel"/>
    <w:tmpl w:val="B2F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50A38"/>
    <w:multiLevelType w:val="multilevel"/>
    <w:tmpl w:val="6028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271D0"/>
    <w:multiLevelType w:val="multilevel"/>
    <w:tmpl w:val="FAA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72BA3"/>
    <w:multiLevelType w:val="multilevel"/>
    <w:tmpl w:val="83C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3725F"/>
    <w:multiLevelType w:val="multilevel"/>
    <w:tmpl w:val="03E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11275"/>
    <w:multiLevelType w:val="multilevel"/>
    <w:tmpl w:val="9E8C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5763D"/>
    <w:multiLevelType w:val="hybridMultilevel"/>
    <w:tmpl w:val="BFE0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75FC9"/>
    <w:multiLevelType w:val="hybridMultilevel"/>
    <w:tmpl w:val="EB00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44EF6"/>
    <w:multiLevelType w:val="hybridMultilevel"/>
    <w:tmpl w:val="F552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8120B"/>
    <w:multiLevelType w:val="multilevel"/>
    <w:tmpl w:val="E73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A2396"/>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37030"/>
    <w:multiLevelType w:val="multilevel"/>
    <w:tmpl w:val="4AA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10408">
    <w:abstractNumId w:val="11"/>
  </w:num>
  <w:num w:numId="2" w16cid:durableId="1871530407">
    <w:abstractNumId w:val="16"/>
  </w:num>
  <w:num w:numId="3" w16cid:durableId="1239487199">
    <w:abstractNumId w:val="21"/>
  </w:num>
  <w:num w:numId="4" w16cid:durableId="1676616561">
    <w:abstractNumId w:val="26"/>
  </w:num>
  <w:num w:numId="5" w16cid:durableId="781145024">
    <w:abstractNumId w:val="22"/>
  </w:num>
  <w:num w:numId="6" w16cid:durableId="61609556">
    <w:abstractNumId w:val="28"/>
  </w:num>
  <w:num w:numId="7" w16cid:durableId="1778909679">
    <w:abstractNumId w:val="8"/>
  </w:num>
  <w:num w:numId="8" w16cid:durableId="2070573425">
    <w:abstractNumId w:val="20"/>
  </w:num>
  <w:num w:numId="9" w16cid:durableId="1076586604">
    <w:abstractNumId w:val="3"/>
  </w:num>
  <w:num w:numId="10" w16cid:durableId="1593274776">
    <w:abstractNumId w:val="7"/>
  </w:num>
  <w:num w:numId="11" w16cid:durableId="477578836">
    <w:abstractNumId w:val="5"/>
  </w:num>
  <w:num w:numId="12" w16cid:durableId="2084250679">
    <w:abstractNumId w:val="12"/>
  </w:num>
  <w:num w:numId="13" w16cid:durableId="121118609">
    <w:abstractNumId w:val="10"/>
  </w:num>
  <w:num w:numId="14" w16cid:durableId="1547519946">
    <w:abstractNumId w:val="18"/>
  </w:num>
  <w:num w:numId="15" w16cid:durableId="412288606">
    <w:abstractNumId w:val="25"/>
  </w:num>
  <w:num w:numId="16" w16cid:durableId="109858427">
    <w:abstractNumId w:val="0"/>
  </w:num>
  <w:num w:numId="17" w16cid:durableId="514540360">
    <w:abstractNumId w:val="23"/>
  </w:num>
  <w:num w:numId="18" w16cid:durableId="720665736">
    <w:abstractNumId w:val="19"/>
  </w:num>
  <w:num w:numId="19" w16cid:durableId="1325627465">
    <w:abstractNumId w:val="24"/>
  </w:num>
  <w:num w:numId="20" w16cid:durableId="355664160">
    <w:abstractNumId w:val="17"/>
  </w:num>
  <w:num w:numId="21" w16cid:durableId="1690259212">
    <w:abstractNumId w:val="13"/>
  </w:num>
  <w:num w:numId="22" w16cid:durableId="2008751115">
    <w:abstractNumId w:val="9"/>
  </w:num>
  <w:num w:numId="23" w16cid:durableId="859702595">
    <w:abstractNumId w:val="1"/>
  </w:num>
  <w:num w:numId="24" w16cid:durableId="1495946986">
    <w:abstractNumId w:val="27"/>
  </w:num>
  <w:num w:numId="25" w16cid:durableId="124204015">
    <w:abstractNumId w:val="6"/>
  </w:num>
  <w:num w:numId="26" w16cid:durableId="825784926">
    <w:abstractNumId w:val="14"/>
  </w:num>
  <w:num w:numId="27" w16cid:durableId="943731027">
    <w:abstractNumId w:val="2"/>
  </w:num>
  <w:num w:numId="28" w16cid:durableId="24645676">
    <w:abstractNumId w:val="4"/>
  </w:num>
  <w:num w:numId="29" w16cid:durableId="701711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47"/>
    <w:rsid w:val="00025254"/>
    <w:rsid w:val="0007168C"/>
    <w:rsid w:val="0010562D"/>
    <w:rsid w:val="00153BED"/>
    <w:rsid w:val="001708BA"/>
    <w:rsid w:val="00217B42"/>
    <w:rsid w:val="00233F9F"/>
    <w:rsid w:val="00381B8A"/>
    <w:rsid w:val="003905EA"/>
    <w:rsid w:val="003E3CA7"/>
    <w:rsid w:val="00410447"/>
    <w:rsid w:val="00453D3D"/>
    <w:rsid w:val="0046029D"/>
    <w:rsid w:val="00464011"/>
    <w:rsid w:val="00483C53"/>
    <w:rsid w:val="004A6F20"/>
    <w:rsid w:val="005418F7"/>
    <w:rsid w:val="005A7197"/>
    <w:rsid w:val="00670567"/>
    <w:rsid w:val="006E4D6D"/>
    <w:rsid w:val="007830C5"/>
    <w:rsid w:val="007B0D3C"/>
    <w:rsid w:val="00896A71"/>
    <w:rsid w:val="008E76B8"/>
    <w:rsid w:val="0090766D"/>
    <w:rsid w:val="00A341EE"/>
    <w:rsid w:val="00A45144"/>
    <w:rsid w:val="00A770BC"/>
    <w:rsid w:val="00AC4B42"/>
    <w:rsid w:val="00D22FD2"/>
    <w:rsid w:val="00D71743"/>
    <w:rsid w:val="00D81827"/>
    <w:rsid w:val="00DB250D"/>
    <w:rsid w:val="00DB3A3C"/>
    <w:rsid w:val="00DF599E"/>
    <w:rsid w:val="00E07752"/>
    <w:rsid w:val="00E26560"/>
    <w:rsid w:val="00E83552"/>
    <w:rsid w:val="00F347F4"/>
    <w:rsid w:val="00F35EAE"/>
    <w:rsid w:val="00FD21AB"/>
    <w:rsid w:val="00FE1C02"/>
    <w:rsid w:val="00FF2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A757"/>
  <w15:chartTrackingRefBased/>
  <w15:docId w15:val="{2310B476-1EB3-4629-9C43-32AF8DD0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53"/>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483C53"/>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483C53"/>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483C53"/>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483C53"/>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483C5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83C5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83C5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83C5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83C53"/>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53"/>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483C53"/>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483C53"/>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483C53"/>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483C53"/>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483C53"/>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483C53"/>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483C53"/>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483C53"/>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483C53"/>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483C53"/>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483C53"/>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483C53"/>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483C53"/>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483C53"/>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483C53"/>
    <w:pPr>
      <w:ind w:left="720"/>
      <w:contextualSpacing/>
    </w:pPr>
  </w:style>
  <w:style w:type="character" w:styleId="IntenseEmphasis">
    <w:name w:val="Intense Emphasis"/>
    <w:basedOn w:val="DefaultParagraphFont"/>
    <w:uiPriority w:val="21"/>
    <w:qFormat/>
    <w:rsid w:val="00483C53"/>
    <w:rPr>
      <w:b/>
      <w:bCs/>
      <w:i/>
      <w:iCs/>
      <w:color w:val="auto"/>
    </w:rPr>
  </w:style>
  <w:style w:type="paragraph" w:styleId="IntenseQuote">
    <w:name w:val="Intense Quote"/>
    <w:basedOn w:val="Normal"/>
    <w:next w:val="Normal"/>
    <w:link w:val="IntenseQuoteChar"/>
    <w:uiPriority w:val="30"/>
    <w:qFormat/>
    <w:rsid w:val="00483C53"/>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483C53"/>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483C53"/>
    <w:rPr>
      <w:b/>
      <w:bCs/>
      <w:caps w:val="0"/>
      <w:smallCaps/>
      <w:color w:val="auto"/>
      <w:spacing w:val="0"/>
      <w:u w:val="single"/>
    </w:rPr>
  </w:style>
  <w:style w:type="paragraph" w:styleId="Caption">
    <w:name w:val="caption"/>
    <w:basedOn w:val="Normal"/>
    <w:next w:val="Normal"/>
    <w:uiPriority w:val="35"/>
    <w:semiHidden/>
    <w:unhideWhenUsed/>
    <w:qFormat/>
    <w:rsid w:val="00483C53"/>
    <w:rPr>
      <w:b/>
      <w:bCs/>
      <w:color w:val="404040" w:themeColor="text1" w:themeTint="BF"/>
      <w:sz w:val="16"/>
      <w:szCs w:val="16"/>
    </w:rPr>
  </w:style>
  <w:style w:type="character" w:styleId="Strong">
    <w:name w:val="Strong"/>
    <w:basedOn w:val="DefaultParagraphFont"/>
    <w:uiPriority w:val="22"/>
    <w:qFormat/>
    <w:rsid w:val="00483C53"/>
    <w:rPr>
      <w:b/>
      <w:bCs/>
    </w:rPr>
  </w:style>
  <w:style w:type="character" w:styleId="Emphasis">
    <w:name w:val="Emphasis"/>
    <w:basedOn w:val="DefaultParagraphFont"/>
    <w:uiPriority w:val="20"/>
    <w:qFormat/>
    <w:rsid w:val="00483C53"/>
    <w:rPr>
      <w:i/>
      <w:iCs/>
      <w:color w:val="000000" w:themeColor="text1"/>
    </w:rPr>
  </w:style>
  <w:style w:type="paragraph" w:styleId="NoSpacing">
    <w:name w:val="No Spacing"/>
    <w:uiPriority w:val="1"/>
    <w:qFormat/>
    <w:rsid w:val="00483C53"/>
    <w:pPr>
      <w:spacing w:after="0" w:line="240" w:lineRule="auto"/>
    </w:pPr>
  </w:style>
  <w:style w:type="character" w:styleId="SubtleEmphasis">
    <w:name w:val="Subtle Emphasis"/>
    <w:basedOn w:val="DefaultParagraphFont"/>
    <w:uiPriority w:val="19"/>
    <w:qFormat/>
    <w:rsid w:val="00483C53"/>
    <w:rPr>
      <w:i/>
      <w:iCs/>
      <w:color w:val="595959" w:themeColor="text1" w:themeTint="A6"/>
    </w:rPr>
  </w:style>
  <w:style w:type="character" w:styleId="SubtleReference">
    <w:name w:val="Subtle Reference"/>
    <w:basedOn w:val="DefaultParagraphFont"/>
    <w:uiPriority w:val="31"/>
    <w:qFormat/>
    <w:rsid w:val="00483C5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83C53"/>
    <w:rPr>
      <w:b/>
      <w:bCs/>
      <w:caps w:val="0"/>
      <w:smallCaps/>
      <w:spacing w:val="0"/>
    </w:rPr>
  </w:style>
  <w:style w:type="paragraph" w:styleId="TOCHeading">
    <w:name w:val="TOC Heading"/>
    <w:basedOn w:val="Heading1"/>
    <w:next w:val="Normal"/>
    <w:uiPriority w:val="39"/>
    <w:semiHidden/>
    <w:unhideWhenUsed/>
    <w:qFormat/>
    <w:rsid w:val="00483C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5185">
      <w:bodyDiv w:val="1"/>
      <w:marLeft w:val="0"/>
      <w:marRight w:val="0"/>
      <w:marTop w:val="0"/>
      <w:marBottom w:val="0"/>
      <w:divBdr>
        <w:top w:val="none" w:sz="0" w:space="0" w:color="auto"/>
        <w:left w:val="none" w:sz="0" w:space="0" w:color="auto"/>
        <w:bottom w:val="none" w:sz="0" w:space="0" w:color="auto"/>
        <w:right w:val="none" w:sz="0" w:space="0" w:color="auto"/>
      </w:divBdr>
    </w:div>
    <w:div w:id="222571962">
      <w:bodyDiv w:val="1"/>
      <w:marLeft w:val="0"/>
      <w:marRight w:val="0"/>
      <w:marTop w:val="0"/>
      <w:marBottom w:val="0"/>
      <w:divBdr>
        <w:top w:val="none" w:sz="0" w:space="0" w:color="auto"/>
        <w:left w:val="none" w:sz="0" w:space="0" w:color="auto"/>
        <w:bottom w:val="none" w:sz="0" w:space="0" w:color="auto"/>
        <w:right w:val="none" w:sz="0" w:space="0" w:color="auto"/>
      </w:divBdr>
    </w:div>
    <w:div w:id="279264475">
      <w:bodyDiv w:val="1"/>
      <w:marLeft w:val="0"/>
      <w:marRight w:val="0"/>
      <w:marTop w:val="0"/>
      <w:marBottom w:val="0"/>
      <w:divBdr>
        <w:top w:val="none" w:sz="0" w:space="0" w:color="auto"/>
        <w:left w:val="none" w:sz="0" w:space="0" w:color="auto"/>
        <w:bottom w:val="none" w:sz="0" w:space="0" w:color="auto"/>
        <w:right w:val="none" w:sz="0" w:space="0" w:color="auto"/>
      </w:divBdr>
    </w:div>
    <w:div w:id="424621209">
      <w:bodyDiv w:val="1"/>
      <w:marLeft w:val="0"/>
      <w:marRight w:val="0"/>
      <w:marTop w:val="0"/>
      <w:marBottom w:val="0"/>
      <w:divBdr>
        <w:top w:val="none" w:sz="0" w:space="0" w:color="auto"/>
        <w:left w:val="none" w:sz="0" w:space="0" w:color="auto"/>
        <w:bottom w:val="none" w:sz="0" w:space="0" w:color="auto"/>
        <w:right w:val="none" w:sz="0" w:space="0" w:color="auto"/>
      </w:divBdr>
    </w:div>
    <w:div w:id="523633420">
      <w:bodyDiv w:val="1"/>
      <w:marLeft w:val="0"/>
      <w:marRight w:val="0"/>
      <w:marTop w:val="0"/>
      <w:marBottom w:val="0"/>
      <w:divBdr>
        <w:top w:val="none" w:sz="0" w:space="0" w:color="auto"/>
        <w:left w:val="none" w:sz="0" w:space="0" w:color="auto"/>
        <w:bottom w:val="none" w:sz="0" w:space="0" w:color="auto"/>
        <w:right w:val="none" w:sz="0" w:space="0" w:color="auto"/>
      </w:divBdr>
    </w:div>
    <w:div w:id="810288300">
      <w:bodyDiv w:val="1"/>
      <w:marLeft w:val="0"/>
      <w:marRight w:val="0"/>
      <w:marTop w:val="0"/>
      <w:marBottom w:val="0"/>
      <w:divBdr>
        <w:top w:val="none" w:sz="0" w:space="0" w:color="auto"/>
        <w:left w:val="none" w:sz="0" w:space="0" w:color="auto"/>
        <w:bottom w:val="none" w:sz="0" w:space="0" w:color="auto"/>
        <w:right w:val="none" w:sz="0" w:space="0" w:color="auto"/>
      </w:divBdr>
    </w:div>
    <w:div w:id="898781518">
      <w:bodyDiv w:val="1"/>
      <w:marLeft w:val="0"/>
      <w:marRight w:val="0"/>
      <w:marTop w:val="0"/>
      <w:marBottom w:val="0"/>
      <w:divBdr>
        <w:top w:val="none" w:sz="0" w:space="0" w:color="auto"/>
        <w:left w:val="none" w:sz="0" w:space="0" w:color="auto"/>
        <w:bottom w:val="none" w:sz="0" w:space="0" w:color="auto"/>
        <w:right w:val="none" w:sz="0" w:space="0" w:color="auto"/>
      </w:divBdr>
    </w:div>
    <w:div w:id="959336741">
      <w:bodyDiv w:val="1"/>
      <w:marLeft w:val="0"/>
      <w:marRight w:val="0"/>
      <w:marTop w:val="0"/>
      <w:marBottom w:val="0"/>
      <w:divBdr>
        <w:top w:val="none" w:sz="0" w:space="0" w:color="auto"/>
        <w:left w:val="none" w:sz="0" w:space="0" w:color="auto"/>
        <w:bottom w:val="none" w:sz="0" w:space="0" w:color="auto"/>
        <w:right w:val="none" w:sz="0" w:space="0" w:color="auto"/>
      </w:divBdr>
    </w:div>
    <w:div w:id="1019967271">
      <w:bodyDiv w:val="1"/>
      <w:marLeft w:val="0"/>
      <w:marRight w:val="0"/>
      <w:marTop w:val="0"/>
      <w:marBottom w:val="0"/>
      <w:divBdr>
        <w:top w:val="none" w:sz="0" w:space="0" w:color="auto"/>
        <w:left w:val="none" w:sz="0" w:space="0" w:color="auto"/>
        <w:bottom w:val="none" w:sz="0" w:space="0" w:color="auto"/>
        <w:right w:val="none" w:sz="0" w:space="0" w:color="auto"/>
      </w:divBdr>
    </w:div>
    <w:div w:id="1122842300">
      <w:bodyDiv w:val="1"/>
      <w:marLeft w:val="0"/>
      <w:marRight w:val="0"/>
      <w:marTop w:val="0"/>
      <w:marBottom w:val="0"/>
      <w:divBdr>
        <w:top w:val="none" w:sz="0" w:space="0" w:color="auto"/>
        <w:left w:val="none" w:sz="0" w:space="0" w:color="auto"/>
        <w:bottom w:val="none" w:sz="0" w:space="0" w:color="auto"/>
        <w:right w:val="none" w:sz="0" w:space="0" w:color="auto"/>
      </w:divBdr>
    </w:div>
    <w:div w:id="1299263630">
      <w:bodyDiv w:val="1"/>
      <w:marLeft w:val="0"/>
      <w:marRight w:val="0"/>
      <w:marTop w:val="0"/>
      <w:marBottom w:val="0"/>
      <w:divBdr>
        <w:top w:val="none" w:sz="0" w:space="0" w:color="auto"/>
        <w:left w:val="none" w:sz="0" w:space="0" w:color="auto"/>
        <w:bottom w:val="none" w:sz="0" w:space="0" w:color="auto"/>
        <w:right w:val="none" w:sz="0" w:space="0" w:color="auto"/>
      </w:divBdr>
      <w:divsChild>
        <w:div w:id="795875761">
          <w:marLeft w:val="0"/>
          <w:marRight w:val="0"/>
          <w:marTop w:val="0"/>
          <w:marBottom w:val="0"/>
          <w:divBdr>
            <w:top w:val="none" w:sz="0" w:space="0" w:color="auto"/>
            <w:left w:val="none" w:sz="0" w:space="0" w:color="auto"/>
            <w:bottom w:val="none" w:sz="0" w:space="0" w:color="auto"/>
            <w:right w:val="none" w:sz="0" w:space="0" w:color="auto"/>
          </w:divBdr>
        </w:div>
        <w:div w:id="742606643">
          <w:marLeft w:val="0"/>
          <w:marRight w:val="0"/>
          <w:marTop w:val="0"/>
          <w:marBottom w:val="0"/>
          <w:divBdr>
            <w:top w:val="none" w:sz="0" w:space="0" w:color="auto"/>
            <w:left w:val="none" w:sz="0" w:space="0" w:color="auto"/>
            <w:bottom w:val="none" w:sz="0" w:space="0" w:color="auto"/>
            <w:right w:val="none" w:sz="0" w:space="0" w:color="auto"/>
          </w:divBdr>
        </w:div>
        <w:div w:id="2125727765">
          <w:marLeft w:val="0"/>
          <w:marRight w:val="0"/>
          <w:marTop w:val="0"/>
          <w:marBottom w:val="0"/>
          <w:divBdr>
            <w:top w:val="none" w:sz="0" w:space="0" w:color="auto"/>
            <w:left w:val="none" w:sz="0" w:space="0" w:color="auto"/>
            <w:bottom w:val="none" w:sz="0" w:space="0" w:color="auto"/>
            <w:right w:val="none" w:sz="0" w:space="0" w:color="auto"/>
          </w:divBdr>
        </w:div>
        <w:div w:id="1535845234">
          <w:marLeft w:val="0"/>
          <w:marRight w:val="0"/>
          <w:marTop w:val="0"/>
          <w:marBottom w:val="0"/>
          <w:divBdr>
            <w:top w:val="none" w:sz="0" w:space="0" w:color="auto"/>
            <w:left w:val="none" w:sz="0" w:space="0" w:color="auto"/>
            <w:bottom w:val="none" w:sz="0" w:space="0" w:color="auto"/>
            <w:right w:val="none" w:sz="0" w:space="0" w:color="auto"/>
          </w:divBdr>
        </w:div>
        <w:div w:id="1911772550">
          <w:marLeft w:val="0"/>
          <w:marRight w:val="0"/>
          <w:marTop w:val="0"/>
          <w:marBottom w:val="0"/>
          <w:divBdr>
            <w:top w:val="none" w:sz="0" w:space="0" w:color="auto"/>
            <w:left w:val="none" w:sz="0" w:space="0" w:color="auto"/>
            <w:bottom w:val="none" w:sz="0" w:space="0" w:color="auto"/>
            <w:right w:val="none" w:sz="0" w:space="0" w:color="auto"/>
          </w:divBdr>
        </w:div>
        <w:div w:id="255676810">
          <w:marLeft w:val="0"/>
          <w:marRight w:val="0"/>
          <w:marTop w:val="0"/>
          <w:marBottom w:val="0"/>
          <w:divBdr>
            <w:top w:val="none" w:sz="0" w:space="0" w:color="auto"/>
            <w:left w:val="none" w:sz="0" w:space="0" w:color="auto"/>
            <w:bottom w:val="none" w:sz="0" w:space="0" w:color="auto"/>
            <w:right w:val="none" w:sz="0" w:space="0" w:color="auto"/>
          </w:divBdr>
        </w:div>
        <w:div w:id="128401717">
          <w:marLeft w:val="0"/>
          <w:marRight w:val="0"/>
          <w:marTop w:val="0"/>
          <w:marBottom w:val="0"/>
          <w:divBdr>
            <w:top w:val="none" w:sz="0" w:space="0" w:color="auto"/>
            <w:left w:val="none" w:sz="0" w:space="0" w:color="auto"/>
            <w:bottom w:val="none" w:sz="0" w:space="0" w:color="auto"/>
            <w:right w:val="none" w:sz="0" w:space="0" w:color="auto"/>
          </w:divBdr>
        </w:div>
        <w:div w:id="246119396">
          <w:marLeft w:val="0"/>
          <w:marRight w:val="0"/>
          <w:marTop w:val="0"/>
          <w:marBottom w:val="0"/>
          <w:divBdr>
            <w:top w:val="none" w:sz="0" w:space="0" w:color="auto"/>
            <w:left w:val="none" w:sz="0" w:space="0" w:color="auto"/>
            <w:bottom w:val="none" w:sz="0" w:space="0" w:color="auto"/>
            <w:right w:val="none" w:sz="0" w:space="0" w:color="auto"/>
          </w:divBdr>
        </w:div>
      </w:divsChild>
    </w:div>
    <w:div w:id="1377386490">
      <w:bodyDiv w:val="1"/>
      <w:marLeft w:val="0"/>
      <w:marRight w:val="0"/>
      <w:marTop w:val="0"/>
      <w:marBottom w:val="0"/>
      <w:divBdr>
        <w:top w:val="none" w:sz="0" w:space="0" w:color="auto"/>
        <w:left w:val="none" w:sz="0" w:space="0" w:color="auto"/>
        <w:bottom w:val="none" w:sz="0" w:space="0" w:color="auto"/>
        <w:right w:val="none" w:sz="0" w:space="0" w:color="auto"/>
      </w:divBdr>
      <w:divsChild>
        <w:div w:id="948126278">
          <w:marLeft w:val="0"/>
          <w:marRight w:val="0"/>
          <w:marTop w:val="0"/>
          <w:marBottom w:val="0"/>
          <w:divBdr>
            <w:top w:val="none" w:sz="0" w:space="0" w:color="auto"/>
            <w:left w:val="none" w:sz="0" w:space="0" w:color="auto"/>
            <w:bottom w:val="none" w:sz="0" w:space="0" w:color="auto"/>
            <w:right w:val="none" w:sz="0" w:space="0" w:color="auto"/>
          </w:divBdr>
        </w:div>
        <w:div w:id="409739201">
          <w:marLeft w:val="0"/>
          <w:marRight w:val="0"/>
          <w:marTop w:val="0"/>
          <w:marBottom w:val="0"/>
          <w:divBdr>
            <w:top w:val="none" w:sz="0" w:space="0" w:color="auto"/>
            <w:left w:val="none" w:sz="0" w:space="0" w:color="auto"/>
            <w:bottom w:val="none" w:sz="0" w:space="0" w:color="auto"/>
            <w:right w:val="none" w:sz="0" w:space="0" w:color="auto"/>
          </w:divBdr>
        </w:div>
        <w:div w:id="566035252">
          <w:marLeft w:val="0"/>
          <w:marRight w:val="0"/>
          <w:marTop w:val="0"/>
          <w:marBottom w:val="0"/>
          <w:divBdr>
            <w:top w:val="none" w:sz="0" w:space="0" w:color="auto"/>
            <w:left w:val="none" w:sz="0" w:space="0" w:color="auto"/>
            <w:bottom w:val="none" w:sz="0" w:space="0" w:color="auto"/>
            <w:right w:val="none" w:sz="0" w:space="0" w:color="auto"/>
          </w:divBdr>
        </w:div>
        <w:div w:id="837961716">
          <w:marLeft w:val="0"/>
          <w:marRight w:val="0"/>
          <w:marTop w:val="0"/>
          <w:marBottom w:val="0"/>
          <w:divBdr>
            <w:top w:val="none" w:sz="0" w:space="0" w:color="auto"/>
            <w:left w:val="none" w:sz="0" w:space="0" w:color="auto"/>
            <w:bottom w:val="none" w:sz="0" w:space="0" w:color="auto"/>
            <w:right w:val="none" w:sz="0" w:space="0" w:color="auto"/>
          </w:divBdr>
        </w:div>
        <w:div w:id="1354452411">
          <w:marLeft w:val="0"/>
          <w:marRight w:val="0"/>
          <w:marTop w:val="0"/>
          <w:marBottom w:val="0"/>
          <w:divBdr>
            <w:top w:val="none" w:sz="0" w:space="0" w:color="auto"/>
            <w:left w:val="none" w:sz="0" w:space="0" w:color="auto"/>
            <w:bottom w:val="none" w:sz="0" w:space="0" w:color="auto"/>
            <w:right w:val="none" w:sz="0" w:space="0" w:color="auto"/>
          </w:divBdr>
        </w:div>
        <w:div w:id="1234926714">
          <w:marLeft w:val="0"/>
          <w:marRight w:val="0"/>
          <w:marTop w:val="0"/>
          <w:marBottom w:val="0"/>
          <w:divBdr>
            <w:top w:val="none" w:sz="0" w:space="0" w:color="auto"/>
            <w:left w:val="none" w:sz="0" w:space="0" w:color="auto"/>
            <w:bottom w:val="none" w:sz="0" w:space="0" w:color="auto"/>
            <w:right w:val="none" w:sz="0" w:space="0" w:color="auto"/>
          </w:divBdr>
        </w:div>
        <w:div w:id="941566256">
          <w:marLeft w:val="0"/>
          <w:marRight w:val="0"/>
          <w:marTop w:val="0"/>
          <w:marBottom w:val="0"/>
          <w:divBdr>
            <w:top w:val="none" w:sz="0" w:space="0" w:color="auto"/>
            <w:left w:val="none" w:sz="0" w:space="0" w:color="auto"/>
            <w:bottom w:val="none" w:sz="0" w:space="0" w:color="auto"/>
            <w:right w:val="none" w:sz="0" w:space="0" w:color="auto"/>
          </w:divBdr>
        </w:div>
        <w:div w:id="355927311">
          <w:marLeft w:val="0"/>
          <w:marRight w:val="0"/>
          <w:marTop w:val="0"/>
          <w:marBottom w:val="0"/>
          <w:divBdr>
            <w:top w:val="none" w:sz="0" w:space="0" w:color="auto"/>
            <w:left w:val="none" w:sz="0" w:space="0" w:color="auto"/>
            <w:bottom w:val="none" w:sz="0" w:space="0" w:color="auto"/>
            <w:right w:val="none" w:sz="0" w:space="0" w:color="auto"/>
          </w:divBdr>
        </w:div>
      </w:divsChild>
    </w:div>
    <w:div w:id="1413314747">
      <w:bodyDiv w:val="1"/>
      <w:marLeft w:val="0"/>
      <w:marRight w:val="0"/>
      <w:marTop w:val="0"/>
      <w:marBottom w:val="0"/>
      <w:divBdr>
        <w:top w:val="none" w:sz="0" w:space="0" w:color="auto"/>
        <w:left w:val="none" w:sz="0" w:space="0" w:color="auto"/>
        <w:bottom w:val="none" w:sz="0" w:space="0" w:color="auto"/>
        <w:right w:val="none" w:sz="0" w:space="0" w:color="auto"/>
      </w:divBdr>
    </w:div>
    <w:div w:id="1454520959">
      <w:bodyDiv w:val="1"/>
      <w:marLeft w:val="0"/>
      <w:marRight w:val="0"/>
      <w:marTop w:val="0"/>
      <w:marBottom w:val="0"/>
      <w:divBdr>
        <w:top w:val="none" w:sz="0" w:space="0" w:color="auto"/>
        <w:left w:val="none" w:sz="0" w:space="0" w:color="auto"/>
        <w:bottom w:val="none" w:sz="0" w:space="0" w:color="auto"/>
        <w:right w:val="none" w:sz="0" w:space="0" w:color="auto"/>
      </w:divBdr>
    </w:div>
    <w:div w:id="1556040801">
      <w:bodyDiv w:val="1"/>
      <w:marLeft w:val="0"/>
      <w:marRight w:val="0"/>
      <w:marTop w:val="0"/>
      <w:marBottom w:val="0"/>
      <w:divBdr>
        <w:top w:val="none" w:sz="0" w:space="0" w:color="auto"/>
        <w:left w:val="none" w:sz="0" w:space="0" w:color="auto"/>
        <w:bottom w:val="none" w:sz="0" w:space="0" w:color="auto"/>
        <w:right w:val="none" w:sz="0" w:space="0" w:color="auto"/>
      </w:divBdr>
    </w:div>
    <w:div w:id="1667245954">
      <w:bodyDiv w:val="1"/>
      <w:marLeft w:val="0"/>
      <w:marRight w:val="0"/>
      <w:marTop w:val="0"/>
      <w:marBottom w:val="0"/>
      <w:divBdr>
        <w:top w:val="none" w:sz="0" w:space="0" w:color="auto"/>
        <w:left w:val="none" w:sz="0" w:space="0" w:color="auto"/>
        <w:bottom w:val="none" w:sz="0" w:space="0" w:color="auto"/>
        <w:right w:val="none" w:sz="0" w:space="0" w:color="auto"/>
      </w:divBdr>
    </w:div>
    <w:div w:id="1752193723">
      <w:bodyDiv w:val="1"/>
      <w:marLeft w:val="0"/>
      <w:marRight w:val="0"/>
      <w:marTop w:val="0"/>
      <w:marBottom w:val="0"/>
      <w:divBdr>
        <w:top w:val="none" w:sz="0" w:space="0" w:color="auto"/>
        <w:left w:val="none" w:sz="0" w:space="0" w:color="auto"/>
        <w:bottom w:val="none" w:sz="0" w:space="0" w:color="auto"/>
        <w:right w:val="none" w:sz="0" w:space="0" w:color="auto"/>
      </w:divBdr>
    </w:div>
    <w:div w:id="1840460694">
      <w:bodyDiv w:val="1"/>
      <w:marLeft w:val="0"/>
      <w:marRight w:val="0"/>
      <w:marTop w:val="0"/>
      <w:marBottom w:val="0"/>
      <w:divBdr>
        <w:top w:val="none" w:sz="0" w:space="0" w:color="auto"/>
        <w:left w:val="none" w:sz="0" w:space="0" w:color="auto"/>
        <w:bottom w:val="none" w:sz="0" w:space="0" w:color="auto"/>
        <w:right w:val="none" w:sz="0" w:space="0" w:color="auto"/>
      </w:divBdr>
    </w:div>
    <w:div w:id="1967614744">
      <w:bodyDiv w:val="1"/>
      <w:marLeft w:val="0"/>
      <w:marRight w:val="0"/>
      <w:marTop w:val="0"/>
      <w:marBottom w:val="0"/>
      <w:divBdr>
        <w:top w:val="none" w:sz="0" w:space="0" w:color="auto"/>
        <w:left w:val="none" w:sz="0" w:space="0" w:color="auto"/>
        <w:bottom w:val="none" w:sz="0" w:space="0" w:color="auto"/>
        <w:right w:val="none" w:sz="0" w:space="0" w:color="auto"/>
      </w:divBdr>
    </w:div>
    <w:div w:id="2017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33</cp:revision>
  <dcterms:created xsi:type="dcterms:W3CDTF">2025-06-29T19:49:00Z</dcterms:created>
  <dcterms:modified xsi:type="dcterms:W3CDTF">2025-09-07T10:45:00Z</dcterms:modified>
</cp:coreProperties>
</file>