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12124" w14:textId="77777777" w:rsidR="003F5FF5" w:rsidRPr="003F5FF5" w:rsidRDefault="003F5FF5" w:rsidP="003F5FF5">
      <w:pPr>
        <w:pStyle w:val="Title"/>
      </w:pPr>
      <w:r w:rsidRPr="003F5FF5">
        <w:t>Participant Wellbeing &amp; Emotional Safety Policy</w:t>
      </w:r>
    </w:p>
    <w:p w14:paraId="5C913B64" w14:textId="7043295A" w:rsidR="003F5FF5" w:rsidRPr="003F5FF5" w:rsidRDefault="003F5FF5" w:rsidP="003F5FF5">
      <w:pPr>
        <w:pStyle w:val="Heading1"/>
      </w:pPr>
      <w:r w:rsidRPr="003F5FF5">
        <w:t>Introduction</w:t>
      </w:r>
    </w:p>
    <w:p w14:paraId="640D226B" w14:textId="77777777" w:rsidR="008B1020" w:rsidRDefault="008B1020" w:rsidP="003F5FF5">
      <w:pPr>
        <w:pStyle w:val="Heading1"/>
        <w:rPr>
          <w:rFonts w:ascii="Sans Serif Collection" w:eastAsiaTheme="minorEastAsia" w:hAnsi="Sans Serif Collection" w:cstheme="minorBidi"/>
          <w:color w:val="000000" w:themeColor="text1"/>
          <w:sz w:val="21"/>
          <w:szCs w:val="21"/>
        </w:rPr>
      </w:pPr>
      <w:r w:rsidRPr="008B1020">
        <w:rPr>
          <w:rFonts w:ascii="Sans Serif Collection" w:eastAsiaTheme="minorEastAsia" w:hAnsi="Sans Serif Collection" w:cstheme="minorBidi"/>
          <w:color w:val="000000" w:themeColor="text1"/>
          <w:sz w:val="21"/>
          <w:szCs w:val="21"/>
        </w:rPr>
        <w:t>Wild Mane Wilderness &amp; Equine Therapeutic Centre is built on the belief that people thrive when they feel safe, respected, and free from judgement. This policy sets out how we support the emotional wellbeing and safety of all participants. It reflects our ethos of adaptability: while we provide structured sessions, every group and individual is different, and sessions flex to meet participants’ needs on the day.</w:t>
      </w:r>
    </w:p>
    <w:p w14:paraId="04813228" w14:textId="4B505657" w:rsidR="003F5FF5" w:rsidRPr="003F5FF5" w:rsidRDefault="003F5FF5" w:rsidP="003F5FF5">
      <w:pPr>
        <w:pStyle w:val="Heading1"/>
      </w:pPr>
      <w:r w:rsidRPr="003F5FF5">
        <w:t>Legal Framework</w:t>
      </w:r>
    </w:p>
    <w:p w14:paraId="72587D65" w14:textId="77777777" w:rsidR="008B1020" w:rsidRPr="008B1020" w:rsidRDefault="008B1020" w:rsidP="008B1020">
      <w:r w:rsidRPr="008B1020">
        <w:t>This policy sits alongside our Safeguarding Policy and aligns with:</w:t>
      </w:r>
    </w:p>
    <w:p w14:paraId="47CF8227" w14:textId="77777777" w:rsidR="008B1020" w:rsidRPr="008B1020" w:rsidRDefault="008B1020" w:rsidP="008B1020">
      <w:pPr>
        <w:pStyle w:val="ListParagraph"/>
        <w:numPr>
          <w:ilvl w:val="0"/>
          <w:numId w:val="9"/>
        </w:numPr>
      </w:pPr>
      <w:r w:rsidRPr="008B1020">
        <w:t>The Children Act 1989 &amp; 2004</w:t>
      </w:r>
    </w:p>
    <w:p w14:paraId="7EC0F2BF" w14:textId="77777777" w:rsidR="008B1020" w:rsidRPr="008B1020" w:rsidRDefault="008B1020" w:rsidP="008B1020">
      <w:pPr>
        <w:pStyle w:val="ListParagraph"/>
        <w:numPr>
          <w:ilvl w:val="0"/>
          <w:numId w:val="9"/>
        </w:numPr>
      </w:pPr>
      <w:r w:rsidRPr="008B1020">
        <w:t>Working Together to Safeguard Children (2023)</w:t>
      </w:r>
    </w:p>
    <w:p w14:paraId="4B2D8EC2" w14:textId="77777777" w:rsidR="008B1020" w:rsidRPr="008B1020" w:rsidRDefault="008B1020" w:rsidP="008B1020">
      <w:pPr>
        <w:pStyle w:val="ListParagraph"/>
        <w:numPr>
          <w:ilvl w:val="0"/>
          <w:numId w:val="9"/>
        </w:numPr>
      </w:pPr>
      <w:r w:rsidRPr="008B1020">
        <w:t>The Care Act 2014</w:t>
      </w:r>
    </w:p>
    <w:p w14:paraId="2DCA8E9B" w14:textId="77777777" w:rsidR="008B1020" w:rsidRPr="008B1020" w:rsidRDefault="008B1020" w:rsidP="008B1020">
      <w:pPr>
        <w:pStyle w:val="ListParagraph"/>
        <w:numPr>
          <w:ilvl w:val="0"/>
          <w:numId w:val="9"/>
        </w:numPr>
      </w:pPr>
      <w:r w:rsidRPr="008B1020">
        <w:t>Equality Act 2010</w:t>
      </w:r>
    </w:p>
    <w:p w14:paraId="4ECD99E3" w14:textId="77777777" w:rsidR="008B1020" w:rsidRPr="008B1020" w:rsidRDefault="008B1020" w:rsidP="008B1020">
      <w:pPr>
        <w:pStyle w:val="ListParagraph"/>
        <w:numPr>
          <w:ilvl w:val="0"/>
          <w:numId w:val="9"/>
        </w:numPr>
      </w:pPr>
      <w:r w:rsidRPr="008B1020">
        <w:t>Health and Safety at Work Act 1974</w:t>
      </w:r>
    </w:p>
    <w:p w14:paraId="4095818A" w14:textId="77777777" w:rsidR="008B1020" w:rsidRPr="008B1020" w:rsidRDefault="008B1020" w:rsidP="008B1020">
      <w:r w:rsidRPr="008B1020">
        <w:t>It complements legal safeguarding duties by focusing on emotional safety and wellbeing in practice.</w:t>
      </w:r>
    </w:p>
    <w:p w14:paraId="1DE98714" w14:textId="451F7F4F" w:rsidR="003F5FF5" w:rsidRPr="003F5FF5" w:rsidRDefault="003F5FF5" w:rsidP="003F5FF5">
      <w:pPr>
        <w:pStyle w:val="Heading1"/>
      </w:pPr>
      <w:r w:rsidRPr="003F5FF5">
        <w:t>Definition</w:t>
      </w:r>
    </w:p>
    <w:p w14:paraId="1B74A6E0" w14:textId="77777777" w:rsidR="00DC4AA0" w:rsidRPr="00DC4AA0" w:rsidRDefault="00DC4AA0" w:rsidP="00DC4AA0">
      <w:pPr>
        <w:spacing w:after="160" w:line="259" w:lineRule="auto"/>
      </w:pPr>
      <w:r w:rsidRPr="00DC4AA0">
        <w:t>At Wild Mane, emotional safety means:</w:t>
      </w:r>
    </w:p>
    <w:p w14:paraId="653292A0" w14:textId="77777777" w:rsidR="00DC4AA0" w:rsidRPr="00DC4AA0" w:rsidRDefault="00DC4AA0" w:rsidP="00DC4AA0">
      <w:pPr>
        <w:numPr>
          <w:ilvl w:val="0"/>
          <w:numId w:val="10"/>
        </w:numPr>
        <w:spacing w:after="160" w:line="259" w:lineRule="auto"/>
      </w:pPr>
      <w:r w:rsidRPr="00DC4AA0">
        <w:t>Feeling respected, valued, and listened to</w:t>
      </w:r>
    </w:p>
    <w:p w14:paraId="602FE741" w14:textId="77777777" w:rsidR="00DC4AA0" w:rsidRPr="00DC4AA0" w:rsidRDefault="00DC4AA0" w:rsidP="00DC4AA0">
      <w:pPr>
        <w:numPr>
          <w:ilvl w:val="0"/>
          <w:numId w:val="10"/>
        </w:numPr>
        <w:spacing w:after="160" w:line="259" w:lineRule="auto"/>
      </w:pPr>
      <w:r w:rsidRPr="00DC4AA0">
        <w:t>Having choice in how to take part, without pressure or shame</w:t>
      </w:r>
    </w:p>
    <w:p w14:paraId="28C78E5E" w14:textId="77777777" w:rsidR="00DC4AA0" w:rsidRPr="00DC4AA0" w:rsidRDefault="00DC4AA0" w:rsidP="00DC4AA0">
      <w:pPr>
        <w:numPr>
          <w:ilvl w:val="0"/>
          <w:numId w:val="10"/>
        </w:numPr>
        <w:spacing w:after="160" w:line="259" w:lineRule="auto"/>
      </w:pPr>
      <w:r w:rsidRPr="00DC4AA0">
        <w:t>Knowing boundaries will be upheld kindly and clearly</w:t>
      </w:r>
    </w:p>
    <w:p w14:paraId="0AAD7941" w14:textId="77777777" w:rsidR="00DC4AA0" w:rsidRPr="00DC4AA0" w:rsidRDefault="00DC4AA0" w:rsidP="00DC4AA0">
      <w:pPr>
        <w:numPr>
          <w:ilvl w:val="0"/>
          <w:numId w:val="10"/>
        </w:numPr>
        <w:spacing w:after="160" w:line="259" w:lineRule="auto"/>
      </w:pPr>
      <w:r w:rsidRPr="00DC4AA0">
        <w:lastRenderedPageBreak/>
        <w:t>Feeling supported during moments of anxiety, overwhelm, or distress</w:t>
      </w:r>
    </w:p>
    <w:p w14:paraId="3C116291" w14:textId="77777777" w:rsidR="00DC4AA0" w:rsidRPr="00DC4AA0" w:rsidRDefault="00DC4AA0" w:rsidP="00DC4AA0">
      <w:pPr>
        <w:numPr>
          <w:ilvl w:val="0"/>
          <w:numId w:val="10"/>
        </w:numPr>
        <w:spacing w:after="160" w:line="259" w:lineRule="auto"/>
      </w:pPr>
      <w:r w:rsidRPr="00DC4AA0">
        <w:t>Experiencing sessions that are safe, inclusive, and responsive</w:t>
      </w:r>
    </w:p>
    <w:p w14:paraId="57295419" w14:textId="1A97AA5E" w:rsidR="003F5FF5" w:rsidRPr="003F5FF5" w:rsidRDefault="003F5FF5" w:rsidP="003F5FF5">
      <w:pPr>
        <w:pStyle w:val="Heading1"/>
      </w:pPr>
      <w:r w:rsidRPr="003F5FF5">
        <w:t>Responsibilities</w:t>
      </w:r>
    </w:p>
    <w:p w14:paraId="0F86AB20" w14:textId="493F84A3" w:rsidR="00DC4AA0" w:rsidRDefault="00DC4AA0" w:rsidP="00DC4AA0">
      <w:pPr>
        <w:numPr>
          <w:ilvl w:val="0"/>
          <w:numId w:val="3"/>
        </w:numPr>
        <w:spacing w:after="160" w:line="259" w:lineRule="auto"/>
      </w:pPr>
      <w:r w:rsidRPr="00DC4AA0">
        <w:rPr>
          <w:b/>
          <w:bCs/>
        </w:rPr>
        <w:t>Director</w:t>
      </w:r>
      <w:r>
        <w:rPr>
          <w:b/>
          <w:bCs/>
        </w:rPr>
        <w:t>/s</w:t>
      </w:r>
      <w:r w:rsidRPr="00DC4AA0">
        <w:rPr>
          <w:b/>
          <w:bCs/>
        </w:rPr>
        <w:t>:</w:t>
      </w:r>
      <w:r>
        <w:t xml:space="preserve"> Oversees implementation of this policy and ensures it reflects Wild Mane’s ethos of flexibility and respect.</w:t>
      </w:r>
    </w:p>
    <w:p w14:paraId="3AB44374" w14:textId="588947D6" w:rsidR="00DC4AA0" w:rsidRDefault="00DC4AA0" w:rsidP="00DC4AA0">
      <w:pPr>
        <w:numPr>
          <w:ilvl w:val="0"/>
          <w:numId w:val="3"/>
        </w:numPr>
        <w:spacing w:after="160" w:line="259" w:lineRule="auto"/>
      </w:pPr>
      <w:r w:rsidRPr="00DC4AA0">
        <w:rPr>
          <w:b/>
          <w:bCs/>
        </w:rPr>
        <w:t>Volunteers/Staff:</w:t>
      </w:r>
      <w:r>
        <w:t xml:space="preserve"> Model calm, supportive behaviour, respond to emotional needs, and adapt activities sensitively.</w:t>
      </w:r>
    </w:p>
    <w:p w14:paraId="3C4A8BE4" w14:textId="308C9CA6" w:rsidR="00DC4AA0" w:rsidRPr="003F5FF5" w:rsidRDefault="00DC4AA0" w:rsidP="00DC4AA0">
      <w:pPr>
        <w:numPr>
          <w:ilvl w:val="0"/>
          <w:numId w:val="3"/>
        </w:numPr>
        <w:spacing w:after="160" w:line="259" w:lineRule="auto"/>
      </w:pPr>
      <w:r w:rsidRPr="00DC4AA0">
        <w:rPr>
          <w:b/>
          <w:bCs/>
        </w:rPr>
        <w:t>Participants:</w:t>
      </w:r>
      <w:r>
        <w:t xml:space="preserve"> Are encouraged to engage at their own pace, respect others, and share feedback to help shape sessions.</w:t>
      </w:r>
    </w:p>
    <w:p w14:paraId="39062C36" w14:textId="0B7DCFC0" w:rsidR="003F5FF5" w:rsidRPr="003F5FF5" w:rsidRDefault="003F5FF5" w:rsidP="003F5FF5">
      <w:pPr>
        <w:pStyle w:val="Heading1"/>
      </w:pPr>
      <w:r w:rsidRPr="003F5FF5">
        <w:t>Creating an Emotionally Safe Environment</w:t>
      </w:r>
    </w:p>
    <w:p w14:paraId="1BAA2BE7" w14:textId="2AE0D56F" w:rsidR="00013AF5" w:rsidRDefault="00013AF5" w:rsidP="00013AF5">
      <w:pPr>
        <w:numPr>
          <w:ilvl w:val="0"/>
          <w:numId w:val="7"/>
        </w:numPr>
      </w:pPr>
      <w:r w:rsidRPr="00013AF5">
        <w:rPr>
          <w:b/>
          <w:bCs/>
        </w:rPr>
        <w:t>Flexible session design:</w:t>
      </w:r>
      <w:r>
        <w:t xml:space="preserve"> Each session has a plan, but this acts as a guide. Activities may adapt in response to participant input, group energy, and feedback. Backup plans are prepared to ensure safety and flow.</w:t>
      </w:r>
    </w:p>
    <w:p w14:paraId="73EBDEFC" w14:textId="1A7A111B" w:rsidR="00013AF5" w:rsidRDefault="00013AF5" w:rsidP="00013AF5">
      <w:pPr>
        <w:numPr>
          <w:ilvl w:val="0"/>
          <w:numId w:val="7"/>
        </w:numPr>
      </w:pPr>
      <w:r w:rsidRPr="00013AF5">
        <w:rPr>
          <w:b/>
          <w:bCs/>
        </w:rPr>
        <w:t>Choice in engagement:</w:t>
      </w:r>
      <w:r>
        <w:t xml:space="preserve"> Participants decide how much they join in. They may work independently, in pairs, or as part of a team. Observing first, trying later, or stepping back briefly are all respected.</w:t>
      </w:r>
    </w:p>
    <w:p w14:paraId="4E506052" w14:textId="5B3944CA" w:rsidR="00013AF5" w:rsidRDefault="00013AF5" w:rsidP="00013AF5">
      <w:pPr>
        <w:numPr>
          <w:ilvl w:val="0"/>
          <w:numId w:val="7"/>
        </w:numPr>
      </w:pPr>
      <w:r w:rsidRPr="00013AF5">
        <w:rPr>
          <w:b/>
          <w:bCs/>
        </w:rPr>
        <w:t>Supportive boundaries:</w:t>
      </w:r>
      <w:r>
        <w:t xml:space="preserve"> We maintain clear safety agreements around ponies, tools, and group behaviour. These are explained positively and upheld with kindness.</w:t>
      </w:r>
    </w:p>
    <w:p w14:paraId="45B3D614" w14:textId="27EB7ABD" w:rsidR="00013AF5" w:rsidRDefault="00013AF5" w:rsidP="00013AF5">
      <w:pPr>
        <w:numPr>
          <w:ilvl w:val="0"/>
          <w:numId w:val="7"/>
        </w:numPr>
      </w:pPr>
      <w:r w:rsidRPr="00013AF5">
        <w:rPr>
          <w:b/>
          <w:bCs/>
        </w:rPr>
        <w:t>Responding to distress</w:t>
      </w:r>
      <w:r>
        <w:t>: Staff offer calm reassurance, grounding activities, or quiet space if someone feels overwhelmed, always with the option to rejoin when ready.</w:t>
      </w:r>
    </w:p>
    <w:p w14:paraId="70D853E5" w14:textId="5DAAED75" w:rsidR="00013AF5" w:rsidRDefault="00013AF5" w:rsidP="00013AF5">
      <w:pPr>
        <w:numPr>
          <w:ilvl w:val="0"/>
          <w:numId w:val="7"/>
        </w:numPr>
      </w:pPr>
      <w:r w:rsidRPr="00013AF5">
        <w:rPr>
          <w:b/>
          <w:bCs/>
        </w:rPr>
        <w:t>Positive environment:</w:t>
      </w:r>
      <w:r>
        <w:t xml:space="preserve"> Activities are free from shaming, comparisons, or pressure. We encourage curiosity, self-expression, and respect for one another.</w:t>
      </w:r>
    </w:p>
    <w:p w14:paraId="6F663906" w14:textId="09C58C42" w:rsidR="00013AF5" w:rsidRDefault="00013AF5" w:rsidP="00013AF5">
      <w:pPr>
        <w:numPr>
          <w:ilvl w:val="0"/>
          <w:numId w:val="7"/>
        </w:numPr>
      </w:pPr>
      <w:r w:rsidRPr="00013AF5">
        <w:rPr>
          <w:b/>
          <w:bCs/>
        </w:rPr>
        <w:t>Feedback culture:</w:t>
      </w:r>
      <w:r>
        <w:t xml:space="preserve"> Participants are invited to reflect on sessions in their own way</w:t>
      </w:r>
      <w:r>
        <w:t>,</w:t>
      </w:r>
      <w:r>
        <w:t xml:space="preserve"> through words, creative expression, or video diaries</w:t>
      </w:r>
      <w:r>
        <w:t>,</w:t>
      </w:r>
      <w:r>
        <w:t xml:space="preserve"> to ensure their voices shape the Wild Mane experience.</w:t>
      </w:r>
    </w:p>
    <w:p w14:paraId="3F29C576" w14:textId="70BA6CFA" w:rsidR="003F5FF5" w:rsidRPr="003F5FF5" w:rsidRDefault="003F5FF5" w:rsidP="003F5FF5">
      <w:pPr>
        <w:pStyle w:val="Heading1"/>
      </w:pPr>
      <w:r w:rsidRPr="003F5FF5">
        <w:lastRenderedPageBreak/>
        <w:t>Links to Other Policies</w:t>
      </w:r>
    </w:p>
    <w:p w14:paraId="40891104" w14:textId="77777777" w:rsidR="003F5FF5" w:rsidRPr="003F5FF5" w:rsidRDefault="003F5FF5" w:rsidP="003F5FF5">
      <w:pPr>
        <w:spacing w:after="160" w:line="259" w:lineRule="auto"/>
      </w:pPr>
      <w:r w:rsidRPr="003F5FF5">
        <w:t>This policy should be read in conjunction with:</w:t>
      </w:r>
    </w:p>
    <w:p w14:paraId="655E956D" w14:textId="77777777" w:rsidR="003F5FF5" w:rsidRPr="003F5FF5" w:rsidRDefault="003F5FF5" w:rsidP="003F5FF5">
      <w:pPr>
        <w:numPr>
          <w:ilvl w:val="0"/>
          <w:numId w:val="5"/>
        </w:numPr>
        <w:spacing w:after="160" w:line="259" w:lineRule="auto"/>
      </w:pPr>
      <w:r w:rsidRPr="003F5FF5">
        <w:t>Safeguarding Policy</w:t>
      </w:r>
    </w:p>
    <w:p w14:paraId="789761AB" w14:textId="77777777" w:rsidR="003F5FF5" w:rsidRPr="003F5FF5" w:rsidRDefault="003F5FF5" w:rsidP="003F5FF5">
      <w:pPr>
        <w:numPr>
          <w:ilvl w:val="0"/>
          <w:numId w:val="5"/>
        </w:numPr>
        <w:spacing w:after="160" w:line="259" w:lineRule="auto"/>
      </w:pPr>
      <w:r w:rsidRPr="003F5FF5">
        <w:t>Equality, Diversity &amp; Inclusion Policy</w:t>
      </w:r>
    </w:p>
    <w:p w14:paraId="628ACC9D" w14:textId="77777777" w:rsidR="003F5FF5" w:rsidRPr="003F5FF5" w:rsidRDefault="003F5FF5" w:rsidP="003F5FF5">
      <w:pPr>
        <w:numPr>
          <w:ilvl w:val="0"/>
          <w:numId w:val="5"/>
        </w:numPr>
        <w:spacing w:after="160" w:line="259" w:lineRule="auto"/>
      </w:pPr>
      <w:r w:rsidRPr="003F5FF5">
        <w:t>Health &amp; Safety Policy</w:t>
      </w:r>
    </w:p>
    <w:p w14:paraId="01D887AB" w14:textId="77777777" w:rsidR="003F5FF5" w:rsidRPr="003F5FF5" w:rsidRDefault="003F5FF5" w:rsidP="003F5FF5">
      <w:pPr>
        <w:numPr>
          <w:ilvl w:val="0"/>
          <w:numId w:val="5"/>
        </w:numPr>
        <w:spacing w:after="160" w:line="259" w:lineRule="auto"/>
      </w:pPr>
      <w:r w:rsidRPr="003F5FF5">
        <w:t>Volunteer Code of Conduct</w:t>
      </w:r>
    </w:p>
    <w:p w14:paraId="6AD95C6C" w14:textId="56D53AD0" w:rsidR="003F5FF5" w:rsidRPr="003F5FF5" w:rsidRDefault="003F5FF5" w:rsidP="003F5FF5">
      <w:pPr>
        <w:pStyle w:val="Heading1"/>
      </w:pPr>
      <w:r w:rsidRPr="003F5FF5">
        <w:t>Monitoring and Review</w:t>
      </w:r>
    </w:p>
    <w:p w14:paraId="2FBB8902" w14:textId="77777777" w:rsidR="003F5FF5" w:rsidRPr="003F5FF5" w:rsidRDefault="003F5FF5" w:rsidP="003F5FF5">
      <w:pPr>
        <w:spacing w:after="160" w:line="259" w:lineRule="auto"/>
      </w:pPr>
      <w:r w:rsidRPr="003F5FF5">
        <w:t>This policy will be monitored through participant feedback, volunteer reflections, and session reviews. It will be formally reviewed annually or sooner if guidance changes or feedback indicates the need.</w:t>
      </w:r>
    </w:p>
    <w:p w14:paraId="4883E02D" w14:textId="24827CC7" w:rsidR="003F5FF5" w:rsidRPr="003F5FF5" w:rsidRDefault="003F5FF5" w:rsidP="003F5FF5">
      <w:pPr>
        <w:spacing w:after="160" w:line="259" w:lineRule="auto"/>
      </w:pPr>
    </w:p>
    <w:p w14:paraId="063BFF02" w14:textId="77777777" w:rsidR="003F5FF5" w:rsidRPr="003F5FF5" w:rsidRDefault="003F5FF5" w:rsidP="003F5FF5">
      <w:pPr>
        <w:spacing w:after="160" w:line="259" w:lineRule="auto"/>
      </w:pPr>
      <w:r w:rsidRPr="003F5FF5">
        <w:rPr>
          <w:b/>
          <w:bCs/>
        </w:rPr>
        <w:t>End of Policy</w:t>
      </w:r>
      <w:r w:rsidRPr="003F5FF5">
        <w:br/>
      </w:r>
      <w:r w:rsidRPr="003F5FF5">
        <w:rPr>
          <w:i/>
          <w:iCs/>
        </w:rPr>
        <w:t>Last Reviewed: 5 September 2025</w:t>
      </w:r>
    </w:p>
    <w:p w14:paraId="5422B0EC" w14:textId="77777777" w:rsidR="00A770BC" w:rsidRDefault="00A770BC"/>
    <w:sectPr w:rsidR="00A770BC" w:rsidSect="003F5FF5">
      <w:pgSz w:w="11900" w:h="16840"/>
      <w:pgMar w:top="1134" w:right="720" w:bottom="720" w:left="720" w:header="284"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4EA"/>
    <w:multiLevelType w:val="hybridMultilevel"/>
    <w:tmpl w:val="C1020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B5422"/>
    <w:multiLevelType w:val="multilevel"/>
    <w:tmpl w:val="A8FC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D146E"/>
    <w:multiLevelType w:val="hybridMultilevel"/>
    <w:tmpl w:val="CB0A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ED24B1"/>
    <w:multiLevelType w:val="multilevel"/>
    <w:tmpl w:val="A440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ED4DE8"/>
    <w:multiLevelType w:val="multilevel"/>
    <w:tmpl w:val="E21C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1913FC"/>
    <w:multiLevelType w:val="multilevel"/>
    <w:tmpl w:val="BD6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549DF"/>
    <w:multiLevelType w:val="multilevel"/>
    <w:tmpl w:val="526ED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7720C"/>
    <w:multiLevelType w:val="multilevel"/>
    <w:tmpl w:val="1C80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72572E"/>
    <w:multiLevelType w:val="multilevel"/>
    <w:tmpl w:val="6AA6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BC4D55"/>
    <w:multiLevelType w:val="multilevel"/>
    <w:tmpl w:val="E9F0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3114498">
    <w:abstractNumId w:val="6"/>
  </w:num>
  <w:num w:numId="2" w16cid:durableId="150492469">
    <w:abstractNumId w:val="7"/>
  </w:num>
  <w:num w:numId="3" w16cid:durableId="1679192936">
    <w:abstractNumId w:val="3"/>
  </w:num>
  <w:num w:numId="4" w16cid:durableId="589629976">
    <w:abstractNumId w:val="4"/>
  </w:num>
  <w:num w:numId="5" w16cid:durableId="1985314598">
    <w:abstractNumId w:val="9"/>
  </w:num>
  <w:num w:numId="6" w16cid:durableId="101413344">
    <w:abstractNumId w:val="0"/>
  </w:num>
  <w:num w:numId="7" w16cid:durableId="1675911336">
    <w:abstractNumId w:val="1"/>
  </w:num>
  <w:num w:numId="8" w16cid:durableId="973146886">
    <w:abstractNumId w:val="5"/>
  </w:num>
  <w:num w:numId="9" w16cid:durableId="576087560">
    <w:abstractNumId w:val="2"/>
  </w:num>
  <w:num w:numId="10" w16cid:durableId="147674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F5"/>
    <w:rsid w:val="00013AF5"/>
    <w:rsid w:val="0007168C"/>
    <w:rsid w:val="003F5FF5"/>
    <w:rsid w:val="00464011"/>
    <w:rsid w:val="00547908"/>
    <w:rsid w:val="005A7197"/>
    <w:rsid w:val="006E4D6D"/>
    <w:rsid w:val="008B1020"/>
    <w:rsid w:val="00A770BC"/>
    <w:rsid w:val="00D31166"/>
    <w:rsid w:val="00DC4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F7DF4"/>
  <w15:chartTrackingRefBased/>
  <w15:docId w15:val="{0790CAFE-8CEA-49E5-A587-74028569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FF5"/>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3F5FF5"/>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semiHidden/>
    <w:unhideWhenUsed/>
    <w:qFormat/>
    <w:rsid w:val="003F5FF5"/>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3F5FF5"/>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3F5FF5"/>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3F5FF5"/>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3F5FF5"/>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3F5FF5"/>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3F5FF5"/>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3F5FF5"/>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F5"/>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semiHidden/>
    <w:rsid w:val="003F5FF5"/>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3F5FF5"/>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3F5FF5"/>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3F5FF5"/>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3F5FF5"/>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3F5FF5"/>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3F5FF5"/>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3F5FF5"/>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3F5FF5"/>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3F5FF5"/>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3F5FF5"/>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3F5FF5"/>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3F5FF5"/>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3F5FF5"/>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3F5FF5"/>
    <w:pPr>
      <w:ind w:left="720"/>
      <w:contextualSpacing/>
    </w:pPr>
  </w:style>
  <w:style w:type="character" w:styleId="IntenseEmphasis">
    <w:name w:val="Intense Emphasis"/>
    <w:basedOn w:val="DefaultParagraphFont"/>
    <w:uiPriority w:val="21"/>
    <w:qFormat/>
    <w:rsid w:val="003F5FF5"/>
    <w:rPr>
      <w:b/>
      <w:bCs/>
      <w:i/>
      <w:iCs/>
      <w:color w:val="auto"/>
    </w:rPr>
  </w:style>
  <w:style w:type="paragraph" w:styleId="IntenseQuote">
    <w:name w:val="Intense Quote"/>
    <w:basedOn w:val="Normal"/>
    <w:next w:val="Normal"/>
    <w:link w:val="IntenseQuoteChar"/>
    <w:uiPriority w:val="30"/>
    <w:qFormat/>
    <w:rsid w:val="003F5FF5"/>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3F5FF5"/>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3F5FF5"/>
    <w:rPr>
      <w:b/>
      <w:bCs/>
      <w:caps w:val="0"/>
      <w:smallCaps/>
      <w:color w:val="auto"/>
      <w:spacing w:val="0"/>
      <w:u w:val="single"/>
    </w:rPr>
  </w:style>
  <w:style w:type="paragraph" w:styleId="Caption">
    <w:name w:val="caption"/>
    <w:basedOn w:val="Normal"/>
    <w:next w:val="Normal"/>
    <w:uiPriority w:val="35"/>
    <w:semiHidden/>
    <w:unhideWhenUsed/>
    <w:qFormat/>
    <w:rsid w:val="003F5FF5"/>
    <w:rPr>
      <w:b/>
      <w:bCs/>
      <w:color w:val="404040" w:themeColor="text1" w:themeTint="BF"/>
      <w:sz w:val="16"/>
      <w:szCs w:val="16"/>
    </w:rPr>
  </w:style>
  <w:style w:type="character" w:styleId="Strong">
    <w:name w:val="Strong"/>
    <w:basedOn w:val="DefaultParagraphFont"/>
    <w:uiPriority w:val="22"/>
    <w:qFormat/>
    <w:rsid w:val="003F5FF5"/>
    <w:rPr>
      <w:b/>
      <w:bCs/>
    </w:rPr>
  </w:style>
  <w:style w:type="character" w:styleId="Emphasis">
    <w:name w:val="Emphasis"/>
    <w:basedOn w:val="DefaultParagraphFont"/>
    <w:uiPriority w:val="20"/>
    <w:qFormat/>
    <w:rsid w:val="003F5FF5"/>
    <w:rPr>
      <w:i/>
      <w:iCs/>
      <w:color w:val="000000" w:themeColor="text1"/>
    </w:rPr>
  </w:style>
  <w:style w:type="paragraph" w:styleId="NoSpacing">
    <w:name w:val="No Spacing"/>
    <w:uiPriority w:val="1"/>
    <w:qFormat/>
    <w:rsid w:val="003F5FF5"/>
    <w:pPr>
      <w:spacing w:after="0" w:line="240" w:lineRule="auto"/>
    </w:pPr>
  </w:style>
  <w:style w:type="character" w:styleId="SubtleEmphasis">
    <w:name w:val="Subtle Emphasis"/>
    <w:basedOn w:val="DefaultParagraphFont"/>
    <w:uiPriority w:val="19"/>
    <w:qFormat/>
    <w:rsid w:val="003F5FF5"/>
    <w:rPr>
      <w:i/>
      <w:iCs/>
      <w:color w:val="595959" w:themeColor="text1" w:themeTint="A6"/>
    </w:rPr>
  </w:style>
  <w:style w:type="character" w:styleId="SubtleReference">
    <w:name w:val="Subtle Reference"/>
    <w:basedOn w:val="DefaultParagraphFont"/>
    <w:uiPriority w:val="31"/>
    <w:qFormat/>
    <w:rsid w:val="003F5FF5"/>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3F5FF5"/>
    <w:rPr>
      <w:b/>
      <w:bCs/>
      <w:caps w:val="0"/>
      <w:smallCaps/>
      <w:spacing w:val="0"/>
    </w:rPr>
  </w:style>
  <w:style w:type="paragraph" w:styleId="TOCHeading">
    <w:name w:val="TOC Heading"/>
    <w:basedOn w:val="Heading1"/>
    <w:next w:val="Normal"/>
    <w:uiPriority w:val="39"/>
    <w:semiHidden/>
    <w:unhideWhenUsed/>
    <w:qFormat/>
    <w:rsid w:val="003F5FF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1</cp:revision>
  <dcterms:created xsi:type="dcterms:W3CDTF">2025-09-05T17:52:00Z</dcterms:created>
  <dcterms:modified xsi:type="dcterms:W3CDTF">2025-09-05T19:51:00Z</dcterms:modified>
</cp:coreProperties>
</file>