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2E18" w14:textId="77777777" w:rsidR="006E2A1A" w:rsidRPr="006E2A1A" w:rsidRDefault="006E2A1A" w:rsidP="006E2A1A">
      <w:pPr>
        <w:pStyle w:val="Title"/>
      </w:pPr>
      <w:r w:rsidRPr="006E2A1A">
        <w:t>Equality, Diversity &amp; Inclusion Policy</w:t>
      </w:r>
    </w:p>
    <w:p w14:paraId="691D11A1" w14:textId="77777777" w:rsidR="006E2A1A" w:rsidRPr="006E2A1A" w:rsidRDefault="006E2A1A" w:rsidP="006E2A1A">
      <w:pPr>
        <w:pStyle w:val="Heading1"/>
      </w:pPr>
      <w:r w:rsidRPr="006E2A1A">
        <w:t>1. Introduction</w:t>
      </w:r>
    </w:p>
    <w:p w14:paraId="1B3A2F33" w14:textId="2E37AC7A" w:rsidR="006E2A1A" w:rsidRPr="006E2A1A" w:rsidRDefault="006E2A1A" w:rsidP="006E2A1A">
      <w:pPr>
        <w:spacing w:after="160" w:line="259" w:lineRule="auto"/>
      </w:pPr>
      <w:r w:rsidRPr="006E2A1A">
        <w:t>Wild Mane</w:t>
      </w:r>
      <w:r>
        <w:t xml:space="preserve"> </w:t>
      </w:r>
      <w:r w:rsidRPr="006E2A1A">
        <w:t>is committed to creating an inclusive, respectful, and welcoming environment for all participants, staff, volunteers, and visitors. We value diversity and believe that equality of opportunity is a fundamental principle that supports both personal growth and community wellbeing. We actively promote an ethos of fairness, respect, dignity, and belonging in all our programmes, interactions, and services.</w:t>
      </w:r>
    </w:p>
    <w:p w14:paraId="2231659C" w14:textId="77777777" w:rsidR="006E2A1A" w:rsidRPr="006E2A1A" w:rsidRDefault="006E2A1A" w:rsidP="006E2A1A">
      <w:pPr>
        <w:pStyle w:val="Heading1"/>
      </w:pPr>
      <w:r w:rsidRPr="006E2A1A">
        <w:t>2. Legal Framework</w:t>
      </w:r>
    </w:p>
    <w:p w14:paraId="5C13E058" w14:textId="77777777" w:rsidR="006E2A1A" w:rsidRPr="006E2A1A" w:rsidRDefault="006E2A1A" w:rsidP="006E2A1A">
      <w:pPr>
        <w:spacing w:after="160" w:line="259" w:lineRule="auto"/>
      </w:pPr>
      <w:r w:rsidRPr="006E2A1A">
        <w:t>This policy has been developed in line with the following legislation and guidance:</w:t>
      </w:r>
    </w:p>
    <w:p w14:paraId="01928589" w14:textId="77777777" w:rsidR="006E2A1A" w:rsidRPr="006E2A1A" w:rsidRDefault="006E2A1A" w:rsidP="006E2A1A">
      <w:pPr>
        <w:numPr>
          <w:ilvl w:val="0"/>
          <w:numId w:val="1"/>
        </w:numPr>
        <w:spacing w:after="160" w:line="259" w:lineRule="auto"/>
      </w:pPr>
      <w:r w:rsidRPr="006E2A1A">
        <w:t>The Equality Act 2010</w:t>
      </w:r>
    </w:p>
    <w:p w14:paraId="6D198C05" w14:textId="77777777" w:rsidR="006E2A1A" w:rsidRPr="006E2A1A" w:rsidRDefault="006E2A1A" w:rsidP="006E2A1A">
      <w:pPr>
        <w:numPr>
          <w:ilvl w:val="0"/>
          <w:numId w:val="1"/>
        </w:numPr>
        <w:spacing w:after="160" w:line="259" w:lineRule="auto"/>
      </w:pPr>
      <w:r w:rsidRPr="006E2A1A">
        <w:t>The Human Rights Act 1998</w:t>
      </w:r>
    </w:p>
    <w:p w14:paraId="081D7EF4" w14:textId="77777777" w:rsidR="006E2A1A" w:rsidRPr="006E2A1A" w:rsidRDefault="006E2A1A" w:rsidP="006E2A1A">
      <w:pPr>
        <w:numPr>
          <w:ilvl w:val="0"/>
          <w:numId w:val="1"/>
        </w:numPr>
        <w:spacing w:after="160" w:line="259" w:lineRule="auto"/>
      </w:pPr>
      <w:r w:rsidRPr="006E2A1A">
        <w:t>The Children Act 1989 and 2004</w:t>
      </w:r>
    </w:p>
    <w:p w14:paraId="6E9BFB47" w14:textId="77777777" w:rsidR="006E2A1A" w:rsidRPr="006E2A1A" w:rsidRDefault="006E2A1A" w:rsidP="006E2A1A">
      <w:pPr>
        <w:numPr>
          <w:ilvl w:val="0"/>
          <w:numId w:val="1"/>
        </w:numPr>
        <w:spacing w:after="160" w:line="259" w:lineRule="auto"/>
      </w:pPr>
      <w:r w:rsidRPr="006E2A1A">
        <w:t>The Care Act 2014</w:t>
      </w:r>
    </w:p>
    <w:p w14:paraId="18D4D61E" w14:textId="77777777" w:rsidR="006E2A1A" w:rsidRPr="006E2A1A" w:rsidRDefault="006E2A1A" w:rsidP="006E2A1A">
      <w:pPr>
        <w:pStyle w:val="Heading1"/>
      </w:pPr>
      <w:r w:rsidRPr="006E2A1A">
        <w:t>3. Definition</w:t>
      </w:r>
    </w:p>
    <w:p w14:paraId="3826F000" w14:textId="77777777" w:rsidR="006E2A1A" w:rsidRPr="006E2A1A" w:rsidRDefault="006E2A1A" w:rsidP="006E2A1A">
      <w:pPr>
        <w:numPr>
          <w:ilvl w:val="0"/>
          <w:numId w:val="2"/>
        </w:numPr>
        <w:spacing w:after="160" w:line="259" w:lineRule="auto"/>
      </w:pPr>
      <w:r w:rsidRPr="006E2A1A">
        <w:rPr>
          <w:b/>
          <w:bCs/>
        </w:rPr>
        <w:t>Equality</w:t>
      </w:r>
      <w:r w:rsidRPr="006E2A1A">
        <w:t>: Ensuring everyone is treated fairly and given the same opportunities.</w:t>
      </w:r>
    </w:p>
    <w:p w14:paraId="48D20531" w14:textId="77777777" w:rsidR="006E2A1A" w:rsidRPr="006E2A1A" w:rsidRDefault="006E2A1A" w:rsidP="006E2A1A">
      <w:pPr>
        <w:numPr>
          <w:ilvl w:val="0"/>
          <w:numId w:val="2"/>
        </w:numPr>
        <w:spacing w:after="160" w:line="259" w:lineRule="auto"/>
      </w:pPr>
      <w:r w:rsidRPr="006E2A1A">
        <w:rPr>
          <w:b/>
          <w:bCs/>
        </w:rPr>
        <w:t>Diversity</w:t>
      </w:r>
      <w:r w:rsidRPr="006E2A1A">
        <w:t>: Recognising, respecting, and valuing people’s differences.</w:t>
      </w:r>
    </w:p>
    <w:p w14:paraId="3C1E16CC" w14:textId="77777777" w:rsidR="006E2A1A" w:rsidRPr="006E2A1A" w:rsidRDefault="006E2A1A" w:rsidP="006E2A1A">
      <w:pPr>
        <w:numPr>
          <w:ilvl w:val="0"/>
          <w:numId w:val="2"/>
        </w:numPr>
        <w:spacing w:after="160" w:line="259" w:lineRule="auto"/>
      </w:pPr>
      <w:r w:rsidRPr="006E2A1A">
        <w:rPr>
          <w:b/>
          <w:bCs/>
        </w:rPr>
        <w:t>Inclusion</w:t>
      </w:r>
      <w:r w:rsidRPr="006E2A1A">
        <w:t>: Creating an environment where everyone feels welcomed, supported, and able to participate fully.</w:t>
      </w:r>
    </w:p>
    <w:p w14:paraId="695D5C76" w14:textId="77777777" w:rsidR="006E2A1A" w:rsidRPr="006E2A1A" w:rsidRDefault="006E2A1A" w:rsidP="006E2A1A">
      <w:pPr>
        <w:numPr>
          <w:ilvl w:val="0"/>
          <w:numId w:val="2"/>
        </w:numPr>
        <w:spacing w:after="160" w:line="259" w:lineRule="auto"/>
      </w:pPr>
      <w:r w:rsidRPr="006E2A1A">
        <w:rPr>
          <w:b/>
          <w:bCs/>
        </w:rPr>
        <w:lastRenderedPageBreak/>
        <w:t>Protected Characteristics</w:t>
      </w:r>
      <w:r w:rsidRPr="006E2A1A">
        <w:t>: As defined by the Equality Act 2010 – including age, disability, gender reassignment, marriage and civil partnership, pregnancy and maternity, race, religion or belief, sex, and sexual orientation.</w:t>
      </w:r>
    </w:p>
    <w:p w14:paraId="3DB0F83A" w14:textId="77777777" w:rsidR="006E2A1A" w:rsidRPr="006E2A1A" w:rsidRDefault="006E2A1A" w:rsidP="006E2A1A">
      <w:pPr>
        <w:pStyle w:val="Heading1"/>
      </w:pPr>
      <w:r w:rsidRPr="006E2A1A">
        <w:t>4. Responsibilities</w:t>
      </w:r>
    </w:p>
    <w:p w14:paraId="492FAF59" w14:textId="77777777" w:rsidR="006E2A1A" w:rsidRPr="006E2A1A" w:rsidRDefault="006E2A1A" w:rsidP="006E2A1A">
      <w:pPr>
        <w:numPr>
          <w:ilvl w:val="0"/>
          <w:numId w:val="3"/>
        </w:numPr>
        <w:spacing w:after="160" w:line="259" w:lineRule="auto"/>
      </w:pPr>
      <w:r w:rsidRPr="006E2A1A">
        <w:rPr>
          <w:b/>
          <w:bCs/>
        </w:rPr>
        <w:t>Director</w:t>
      </w:r>
      <w:r w:rsidRPr="006E2A1A">
        <w:t>: Holds overall responsibility for ensuring compliance with this policy and promoting EDI across Wild Mane.</w:t>
      </w:r>
    </w:p>
    <w:p w14:paraId="4566C0D9" w14:textId="77777777" w:rsidR="006E2A1A" w:rsidRPr="006E2A1A" w:rsidRDefault="006E2A1A" w:rsidP="006E2A1A">
      <w:pPr>
        <w:numPr>
          <w:ilvl w:val="0"/>
          <w:numId w:val="3"/>
        </w:numPr>
        <w:spacing w:after="160" w:line="259" w:lineRule="auto"/>
      </w:pPr>
      <w:r w:rsidRPr="006E2A1A">
        <w:rPr>
          <w:b/>
          <w:bCs/>
        </w:rPr>
        <w:t>Staff &amp; Volunteers</w:t>
      </w:r>
      <w:r w:rsidRPr="006E2A1A">
        <w:t>: Expected to treat everyone with respect, challenge discrimination, and contribute to an inclusive environment.</w:t>
      </w:r>
    </w:p>
    <w:p w14:paraId="120124AB" w14:textId="77777777" w:rsidR="006E2A1A" w:rsidRPr="006E2A1A" w:rsidRDefault="006E2A1A" w:rsidP="006E2A1A">
      <w:pPr>
        <w:numPr>
          <w:ilvl w:val="0"/>
          <w:numId w:val="3"/>
        </w:numPr>
        <w:spacing w:after="160" w:line="259" w:lineRule="auto"/>
      </w:pPr>
      <w:r w:rsidRPr="006E2A1A">
        <w:rPr>
          <w:b/>
          <w:bCs/>
        </w:rPr>
        <w:t>Participants &amp; Visitors</w:t>
      </w:r>
      <w:r w:rsidRPr="006E2A1A">
        <w:t>: Encouraged to uphold the values of mutual respect, fairness, and inclusivity during their involvement with Wild Mane.</w:t>
      </w:r>
    </w:p>
    <w:p w14:paraId="50E873CF" w14:textId="77777777" w:rsidR="006E2A1A" w:rsidRPr="006E2A1A" w:rsidRDefault="006E2A1A" w:rsidP="006E2A1A">
      <w:pPr>
        <w:pStyle w:val="Heading1"/>
      </w:pPr>
      <w:r w:rsidRPr="006E2A1A">
        <w:t>5. Policy Commitments</w:t>
      </w:r>
    </w:p>
    <w:p w14:paraId="00AFB52E" w14:textId="77777777" w:rsidR="006E2A1A" w:rsidRPr="006E2A1A" w:rsidRDefault="006E2A1A" w:rsidP="006E2A1A">
      <w:pPr>
        <w:spacing w:after="160" w:line="259" w:lineRule="auto"/>
      </w:pPr>
      <w:r w:rsidRPr="006E2A1A">
        <w:t>Wild Mane is committed to the following:</w:t>
      </w:r>
    </w:p>
    <w:p w14:paraId="6FC6452E" w14:textId="77777777" w:rsidR="006E2A1A" w:rsidRPr="006E2A1A" w:rsidRDefault="006E2A1A" w:rsidP="006E2A1A">
      <w:pPr>
        <w:numPr>
          <w:ilvl w:val="0"/>
          <w:numId w:val="4"/>
        </w:numPr>
        <w:spacing w:after="160" w:line="259" w:lineRule="auto"/>
      </w:pPr>
      <w:r w:rsidRPr="006E2A1A">
        <w:t>Ensuring that all activities, programmes, and services are accessible and inclusive.</w:t>
      </w:r>
    </w:p>
    <w:p w14:paraId="2458DAA4" w14:textId="77777777" w:rsidR="006E2A1A" w:rsidRPr="006E2A1A" w:rsidRDefault="006E2A1A" w:rsidP="006E2A1A">
      <w:pPr>
        <w:numPr>
          <w:ilvl w:val="0"/>
          <w:numId w:val="4"/>
        </w:numPr>
        <w:spacing w:after="160" w:line="259" w:lineRule="auto"/>
      </w:pPr>
      <w:r w:rsidRPr="006E2A1A">
        <w:t>Actively challenging discrimination, harassment, or bullying in any form.</w:t>
      </w:r>
    </w:p>
    <w:p w14:paraId="7FC89E5D" w14:textId="77777777" w:rsidR="006E2A1A" w:rsidRPr="006E2A1A" w:rsidRDefault="006E2A1A" w:rsidP="006E2A1A">
      <w:pPr>
        <w:numPr>
          <w:ilvl w:val="0"/>
          <w:numId w:val="4"/>
        </w:numPr>
        <w:spacing w:after="160" w:line="259" w:lineRule="auto"/>
      </w:pPr>
      <w:r w:rsidRPr="006E2A1A">
        <w:t>Making reasonable adjustments to support people with disabilities and additional needs.</w:t>
      </w:r>
    </w:p>
    <w:p w14:paraId="4E705F5A" w14:textId="77777777" w:rsidR="006E2A1A" w:rsidRPr="006E2A1A" w:rsidRDefault="006E2A1A" w:rsidP="006E2A1A">
      <w:pPr>
        <w:numPr>
          <w:ilvl w:val="0"/>
          <w:numId w:val="4"/>
        </w:numPr>
        <w:spacing w:after="160" w:line="259" w:lineRule="auto"/>
      </w:pPr>
      <w:r w:rsidRPr="006E2A1A">
        <w:t>Promoting diverse representation in our imagery, materials, and communications.</w:t>
      </w:r>
    </w:p>
    <w:p w14:paraId="4806EC6B" w14:textId="77777777" w:rsidR="006E2A1A" w:rsidRPr="006E2A1A" w:rsidRDefault="006E2A1A" w:rsidP="006E2A1A">
      <w:pPr>
        <w:numPr>
          <w:ilvl w:val="0"/>
          <w:numId w:val="4"/>
        </w:numPr>
        <w:spacing w:after="160" w:line="259" w:lineRule="auto"/>
      </w:pPr>
      <w:r w:rsidRPr="006E2A1A">
        <w:t>Providing training and awareness for staff and volunteers on EDI principles.</w:t>
      </w:r>
    </w:p>
    <w:p w14:paraId="4CA88DDA" w14:textId="77777777" w:rsidR="006E2A1A" w:rsidRPr="006E2A1A" w:rsidRDefault="006E2A1A" w:rsidP="006E2A1A">
      <w:pPr>
        <w:numPr>
          <w:ilvl w:val="0"/>
          <w:numId w:val="4"/>
        </w:numPr>
        <w:spacing w:after="160" w:line="259" w:lineRule="auto"/>
      </w:pPr>
      <w:r w:rsidRPr="006E2A1A">
        <w:t>Ensuring recruitment, selection, and volunteering opportunities are fair and open to all.</w:t>
      </w:r>
    </w:p>
    <w:p w14:paraId="7956BAE2" w14:textId="77777777" w:rsidR="006E2A1A" w:rsidRPr="006E2A1A" w:rsidRDefault="006E2A1A" w:rsidP="006E2A1A">
      <w:pPr>
        <w:numPr>
          <w:ilvl w:val="0"/>
          <w:numId w:val="4"/>
        </w:numPr>
        <w:spacing w:after="160" w:line="259" w:lineRule="auto"/>
      </w:pPr>
      <w:r w:rsidRPr="006E2A1A">
        <w:t>Encouraging feedback from participants and stakeholders to strengthen our inclusive approach.</w:t>
      </w:r>
    </w:p>
    <w:p w14:paraId="0F4C7660" w14:textId="77777777" w:rsidR="006E2A1A" w:rsidRPr="006E2A1A" w:rsidRDefault="006E2A1A" w:rsidP="006E2A1A">
      <w:pPr>
        <w:pStyle w:val="Heading1"/>
      </w:pPr>
      <w:r w:rsidRPr="006E2A1A">
        <w:lastRenderedPageBreak/>
        <w:t>6. Implementation</w:t>
      </w:r>
    </w:p>
    <w:p w14:paraId="03660789" w14:textId="77777777" w:rsidR="006E2A1A" w:rsidRPr="006E2A1A" w:rsidRDefault="006E2A1A" w:rsidP="006E2A1A">
      <w:pPr>
        <w:spacing w:after="160" w:line="259" w:lineRule="auto"/>
      </w:pPr>
      <w:r w:rsidRPr="006E2A1A">
        <w:t>To put this policy into practice, Wild Mane will:</w:t>
      </w:r>
    </w:p>
    <w:p w14:paraId="7C3BD142" w14:textId="77777777" w:rsidR="006E2A1A" w:rsidRPr="006E2A1A" w:rsidRDefault="006E2A1A" w:rsidP="006E2A1A">
      <w:pPr>
        <w:numPr>
          <w:ilvl w:val="0"/>
          <w:numId w:val="5"/>
        </w:numPr>
        <w:spacing w:after="160" w:line="259" w:lineRule="auto"/>
      </w:pPr>
      <w:r w:rsidRPr="006E2A1A">
        <w:t>Apply inclusive design principles to all sessions, adapting where necessary to individual needs.</w:t>
      </w:r>
    </w:p>
    <w:p w14:paraId="1DD7BD8D" w14:textId="77777777" w:rsidR="006E2A1A" w:rsidRPr="006E2A1A" w:rsidRDefault="006E2A1A" w:rsidP="006E2A1A">
      <w:pPr>
        <w:numPr>
          <w:ilvl w:val="0"/>
          <w:numId w:val="5"/>
        </w:numPr>
        <w:spacing w:after="160" w:line="259" w:lineRule="auto"/>
      </w:pPr>
      <w:r w:rsidRPr="006E2A1A">
        <w:t>Provide clear reporting procedures for concerns about discrimination or exclusion.</w:t>
      </w:r>
    </w:p>
    <w:p w14:paraId="788F8557" w14:textId="77777777" w:rsidR="006E2A1A" w:rsidRPr="006E2A1A" w:rsidRDefault="006E2A1A" w:rsidP="006E2A1A">
      <w:pPr>
        <w:numPr>
          <w:ilvl w:val="0"/>
          <w:numId w:val="5"/>
        </w:numPr>
        <w:spacing w:after="160" w:line="259" w:lineRule="auto"/>
      </w:pPr>
      <w:r w:rsidRPr="006E2A1A">
        <w:t>Regularly review promotional materials and online presence to ensure they reflect diversity.</w:t>
      </w:r>
    </w:p>
    <w:p w14:paraId="34FB4082" w14:textId="77777777" w:rsidR="006E2A1A" w:rsidRPr="006E2A1A" w:rsidRDefault="006E2A1A" w:rsidP="006E2A1A">
      <w:pPr>
        <w:numPr>
          <w:ilvl w:val="0"/>
          <w:numId w:val="5"/>
        </w:numPr>
        <w:spacing w:after="160" w:line="259" w:lineRule="auto"/>
      </w:pPr>
      <w:r w:rsidRPr="006E2A1A">
        <w:t>Engage with local communities to ensure our services remain accessible and relevant.</w:t>
      </w:r>
    </w:p>
    <w:p w14:paraId="25E69644" w14:textId="77777777" w:rsidR="006E2A1A" w:rsidRPr="006E2A1A" w:rsidRDefault="006E2A1A" w:rsidP="006E2A1A">
      <w:pPr>
        <w:pStyle w:val="Heading1"/>
      </w:pPr>
      <w:r w:rsidRPr="006E2A1A">
        <w:t>7. Monitoring and Review</w:t>
      </w:r>
    </w:p>
    <w:p w14:paraId="1A1F7CC8" w14:textId="77777777" w:rsidR="006E2A1A" w:rsidRPr="006E2A1A" w:rsidRDefault="006E2A1A" w:rsidP="006E2A1A">
      <w:pPr>
        <w:spacing w:after="160" w:line="259" w:lineRule="auto"/>
      </w:pPr>
      <w:r w:rsidRPr="006E2A1A">
        <w:t>This policy will be monitored through:</w:t>
      </w:r>
    </w:p>
    <w:p w14:paraId="4502C279" w14:textId="77777777" w:rsidR="006E2A1A" w:rsidRPr="006E2A1A" w:rsidRDefault="006E2A1A" w:rsidP="006E2A1A">
      <w:pPr>
        <w:numPr>
          <w:ilvl w:val="0"/>
          <w:numId w:val="6"/>
        </w:numPr>
        <w:spacing w:after="160" w:line="259" w:lineRule="auto"/>
      </w:pPr>
      <w:r w:rsidRPr="006E2A1A">
        <w:t>Regular review of participant and volunteer feedback.</w:t>
      </w:r>
    </w:p>
    <w:p w14:paraId="15EB702E" w14:textId="77777777" w:rsidR="006E2A1A" w:rsidRPr="006E2A1A" w:rsidRDefault="006E2A1A" w:rsidP="006E2A1A">
      <w:pPr>
        <w:numPr>
          <w:ilvl w:val="0"/>
          <w:numId w:val="6"/>
        </w:numPr>
        <w:spacing w:after="160" w:line="259" w:lineRule="auto"/>
      </w:pPr>
      <w:r w:rsidRPr="006E2A1A">
        <w:t>Annual review of complaints or concerns relating to EDI.</w:t>
      </w:r>
    </w:p>
    <w:p w14:paraId="043B4E7C" w14:textId="77777777" w:rsidR="006E2A1A" w:rsidRPr="006E2A1A" w:rsidRDefault="006E2A1A" w:rsidP="006E2A1A">
      <w:pPr>
        <w:numPr>
          <w:ilvl w:val="0"/>
          <w:numId w:val="6"/>
        </w:numPr>
        <w:spacing w:after="160" w:line="259" w:lineRule="auto"/>
      </w:pPr>
      <w:r w:rsidRPr="006E2A1A">
        <w:t>Ongoing evaluation of our programmes to ensure accessibility and inclusivity.</w:t>
      </w:r>
    </w:p>
    <w:p w14:paraId="723EA03E" w14:textId="77777777" w:rsidR="006E2A1A" w:rsidRPr="006E2A1A" w:rsidRDefault="006E2A1A" w:rsidP="006E2A1A">
      <w:pPr>
        <w:spacing w:after="160" w:line="259" w:lineRule="auto"/>
      </w:pPr>
      <w:r w:rsidRPr="006E2A1A">
        <w:t>The policy will be formally reviewed every 12 months, or sooner if legislation or best practice requires.</w:t>
      </w:r>
    </w:p>
    <w:p w14:paraId="67966960" w14:textId="71758D66" w:rsidR="006E2A1A" w:rsidRPr="006E2A1A" w:rsidRDefault="006E2A1A" w:rsidP="006E2A1A">
      <w:pPr>
        <w:spacing w:after="160" w:line="259" w:lineRule="auto"/>
      </w:pPr>
    </w:p>
    <w:p w14:paraId="105575A6" w14:textId="77777777" w:rsidR="006E2A1A" w:rsidRPr="006E2A1A" w:rsidRDefault="006E2A1A" w:rsidP="006E2A1A">
      <w:pPr>
        <w:spacing w:after="160" w:line="259" w:lineRule="auto"/>
      </w:pPr>
      <w:r w:rsidRPr="006E2A1A">
        <w:rPr>
          <w:b/>
          <w:bCs/>
        </w:rPr>
        <w:t>End of Policy</w:t>
      </w:r>
      <w:r w:rsidRPr="006E2A1A">
        <w:br/>
      </w:r>
      <w:r w:rsidRPr="006E2A1A">
        <w:rPr>
          <w:i/>
          <w:iCs/>
        </w:rPr>
        <w:t>Last Reviewed: September 2025</w:t>
      </w:r>
    </w:p>
    <w:p w14:paraId="0EEC90B6" w14:textId="77777777" w:rsidR="00A770BC" w:rsidRDefault="00A770BC"/>
    <w:sectPr w:rsidR="00A770BC" w:rsidSect="006E2A1A">
      <w:pgSz w:w="11900" w:h="16840"/>
      <w:pgMar w:top="1134" w:right="720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ading">
    <w:altName w:val="Cambria"/>
    <w:panose1 w:val="00000000000000000000"/>
    <w:charset w:val="00"/>
    <w:family w:val="roman"/>
    <w:notTrueType/>
    <w:pitch w:val="default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25D2"/>
    <w:multiLevelType w:val="multilevel"/>
    <w:tmpl w:val="2DB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A6182"/>
    <w:multiLevelType w:val="multilevel"/>
    <w:tmpl w:val="17F8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87E6B"/>
    <w:multiLevelType w:val="multilevel"/>
    <w:tmpl w:val="3FE8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9268AD"/>
    <w:multiLevelType w:val="multilevel"/>
    <w:tmpl w:val="EBF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7F33E1"/>
    <w:multiLevelType w:val="multilevel"/>
    <w:tmpl w:val="12D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84767E"/>
    <w:multiLevelType w:val="multilevel"/>
    <w:tmpl w:val="2E0E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43345">
    <w:abstractNumId w:val="1"/>
  </w:num>
  <w:num w:numId="2" w16cid:durableId="1382287973">
    <w:abstractNumId w:val="0"/>
  </w:num>
  <w:num w:numId="3" w16cid:durableId="1642925869">
    <w:abstractNumId w:val="5"/>
  </w:num>
  <w:num w:numId="4" w16cid:durableId="1394890570">
    <w:abstractNumId w:val="3"/>
  </w:num>
  <w:num w:numId="5" w16cid:durableId="829830679">
    <w:abstractNumId w:val="4"/>
  </w:num>
  <w:num w:numId="6" w16cid:durableId="109100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1A"/>
    <w:rsid w:val="00052A13"/>
    <w:rsid w:val="0005615D"/>
    <w:rsid w:val="0007168C"/>
    <w:rsid w:val="0032646B"/>
    <w:rsid w:val="00464011"/>
    <w:rsid w:val="004A3F95"/>
    <w:rsid w:val="005A7197"/>
    <w:rsid w:val="00682A03"/>
    <w:rsid w:val="006E2A1A"/>
    <w:rsid w:val="006E4D6D"/>
    <w:rsid w:val="00A7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1C317"/>
  <w15:chartTrackingRefBased/>
  <w15:docId w15:val="{6DC1F315-B2AF-4152-BE8E-8A337518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1A"/>
    <w:pPr>
      <w:spacing w:after="40" w:line="240" w:lineRule="auto"/>
    </w:pPr>
    <w:rPr>
      <w:rFonts w:ascii="Sans Serif Collection" w:hAnsi="Sans Serif Collectio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2A1A"/>
    <w:pPr>
      <w:keepNext/>
      <w:keepLines/>
      <w:spacing w:before="320" w:after="80"/>
      <w:outlineLvl w:val="0"/>
    </w:pPr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A1A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A1A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A1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A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A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A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A1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A1A"/>
    <w:rPr>
      <w:rFonts w:asciiTheme="majorHAnsi" w:eastAsiaTheme="majorEastAsia" w:hAnsiTheme="majorHAnsi" w:cstheme="majorBidi"/>
      <w:color w:val="AABDA5" w:themeColor="accent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A1A"/>
    <w:rPr>
      <w:rFonts w:asciiTheme="majorHAnsi" w:eastAsiaTheme="majorEastAsia" w:hAnsiTheme="majorHAnsi" w:cstheme="majorBidi"/>
      <w:color w:val="E2B19E" w:themeColor="accent5" w:themeTint="9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A1A"/>
    <w:rPr>
      <w:rFonts w:asciiTheme="majorHAnsi" w:eastAsiaTheme="majorEastAsia" w:hAnsiTheme="majorHAnsi" w:cstheme="majorBidi"/>
      <w:color w:val="C8A153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A1A"/>
    <w:rPr>
      <w:rFonts w:asciiTheme="majorHAnsi" w:eastAsiaTheme="majorEastAsia" w:hAnsiTheme="majorHAnsi" w:cstheme="majorBidi"/>
      <w:i/>
      <w:iCs/>
      <w:color w:val="9AA8AD" w:themeColor="background2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A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A1A"/>
    <w:rPr>
      <w:rFonts w:asciiTheme="majorHAnsi" w:eastAsiaTheme="majorEastAsia" w:hAnsiTheme="majorHAnsi" w:cstheme="majorBidi"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A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A1A"/>
    <w:rPr>
      <w:rFonts w:asciiTheme="majorHAnsi" w:eastAsiaTheme="majorEastAsia" w:hAnsiTheme="majorHAnsi" w:cstheme="majorBidi"/>
      <w:i/>
      <w:iCs/>
      <w:color w:val="000000" w:themeColor="text1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A1A"/>
    <w:rPr>
      <w:rFonts w:ascii="Sans Serif Collection" w:hAnsi="Sans Serif Collection"/>
      <w:b/>
      <w:bCs/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6E2A1A"/>
    <w:pPr>
      <w:pBdr>
        <w:top w:val="single" w:sz="6" w:space="8" w:color="AABDA5" w:themeColor="accent3"/>
        <w:bottom w:val="single" w:sz="6" w:space="8" w:color="AABD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E2A1A"/>
    <w:rPr>
      <w:rFonts w:asciiTheme="majorHAnsi" w:eastAsiaTheme="majorEastAsia" w:hAnsiTheme="majorHAnsi" w:cstheme="majorBidi"/>
      <w:caps/>
      <w:color w:val="80AFC2" w:themeColor="accent6" w:themeShade="BF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A1A"/>
    <w:pPr>
      <w:numPr>
        <w:ilvl w:val="1"/>
      </w:numPr>
      <w:jc w:val="center"/>
    </w:pPr>
    <w:rPr>
      <w:color w:val="FAF6F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A1A"/>
    <w:rPr>
      <w:rFonts w:ascii="Sans Serif Collection" w:hAnsi="Sans Serif Collection"/>
      <w:color w:val="FAF6F0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A1A"/>
    <w:pPr>
      <w:spacing w:before="160"/>
      <w:ind w:left="720" w:right="720"/>
      <w:jc w:val="center"/>
    </w:pPr>
    <w:rPr>
      <w:i/>
      <w:iCs/>
      <w:color w:val="799771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2A1A"/>
    <w:rPr>
      <w:rFonts w:ascii="Sans Serif Collection" w:hAnsi="Sans Serif Collection"/>
      <w:i/>
      <w:iCs/>
      <w:color w:val="799771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6E2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A1A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A1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A1A"/>
    <w:rPr>
      <w:rFonts w:asciiTheme="majorHAnsi" w:eastAsiaTheme="majorEastAsia" w:hAnsiTheme="majorHAnsi" w:cstheme="majorBidi"/>
      <w:caps/>
      <w:color w:val="868686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6E2A1A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2A1A"/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6E2A1A"/>
    <w:rPr>
      <w:b/>
      <w:bCs/>
    </w:rPr>
  </w:style>
  <w:style w:type="character" w:styleId="Emphasis">
    <w:name w:val="Emphasis"/>
    <w:basedOn w:val="DefaultParagraphFont"/>
    <w:uiPriority w:val="20"/>
    <w:qFormat/>
    <w:rsid w:val="006E2A1A"/>
    <w:rPr>
      <w:i/>
      <w:iCs/>
      <w:color w:val="000000" w:themeColor="text1"/>
    </w:rPr>
  </w:style>
  <w:style w:type="paragraph" w:styleId="NoSpacing">
    <w:name w:val="No Spacing"/>
    <w:uiPriority w:val="1"/>
    <w:qFormat/>
    <w:rsid w:val="006E2A1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E2A1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6E2A1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6E2A1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2A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Wild Mane">
      <a:dk1>
        <a:srgbClr val="000000"/>
      </a:dk1>
      <a:lt1>
        <a:srgbClr val="D8CBAF"/>
      </a:lt1>
      <a:dk2>
        <a:srgbClr val="FAF6F0"/>
      </a:dk2>
      <a:lt2>
        <a:srgbClr val="9AA8AD"/>
      </a:lt2>
      <a:accent1>
        <a:srgbClr val="B4B4B4"/>
      </a:accent1>
      <a:accent2>
        <a:srgbClr val="C8A153"/>
      </a:accent2>
      <a:accent3>
        <a:srgbClr val="AABDA5"/>
      </a:accent3>
      <a:accent4>
        <a:srgbClr val="768A75"/>
      </a:accent4>
      <a:accent5>
        <a:srgbClr val="CF7E5E"/>
      </a:accent5>
      <a:accent6>
        <a:srgbClr val="C9DDE5"/>
      </a:accent6>
      <a:hlink>
        <a:srgbClr val="659C94"/>
      </a:hlink>
      <a:folHlink>
        <a:srgbClr val="A2836E"/>
      </a:folHlink>
    </a:clrScheme>
    <a:fontScheme name="Heading / Title">
      <a:majorFont>
        <a:latin typeface="Playfair Display"/>
        <a:ea typeface=""/>
        <a:cs typeface=""/>
      </a:majorFont>
      <a:minorFont>
        <a:latin typeface="Headi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56E2-CB72-4A8E-AA91-2D70DA37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Park</dc:creator>
  <cp:keywords/>
  <dc:description/>
  <cp:lastModifiedBy>Lisa Park</cp:lastModifiedBy>
  <cp:revision>4</cp:revision>
  <dcterms:created xsi:type="dcterms:W3CDTF">2025-09-04T18:42:00Z</dcterms:created>
  <dcterms:modified xsi:type="dcterms:W3CDTF">2025-09-05T09:58:00Z</dcterms:modified>
</cp:coreProperties>
</file>